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164" w:rsidRDefault="00061164" w:rsidP="00061164">
      <w:bookmarkStart w:id="0" w:name="_GoBack"/>
      <w:bookmarkEnd w:id="0"/>
    </w:p>
    <w:p w:rsidR="00061164" w:rsidRPr="00061164" w:rsidRDefault="00061164" w:rsidP="00061164">
      <w:pPr>
        <w:jc w:val="center"/>
        <w:rPr>
          <w:rFonts w:ascii="Times New Roman" w:hAnsi="Times New Roman"/>
          <w:b/>
          <w:sz w:val="24"/>
          <w:szCs w:val="24"/>
        </w:rPr>
      </w:pPr>
      <w:r w:rsidRPr="00061164">
        <w:rPr>
          <w:rFonts w:ascii="Times New Roman" w:hAnsi="Times New Roman"/>
          <w:b/>
          <w:sz w:val="24"/>
          <w:szCs w:val="24"/>
        </w:rPr>
        <w:t xml:space="preserve">Telki Község Önkormányzat </w:t>
      </w:r>
    </w:p>
    <w:p w:rsidR="00061164" w:rsidRPr="00061164" w:rsidRDefault="00061164" w:rsidP="00061164">
      <w:pPr>
        <w:jc w:val="center"/>
        <w:rPr>
          <w:rFonts w:ascii="Times New Roman" w:hAnsi="Times New Roman"/>
          <w:b/>
          <w:sz w:val="24"/>
          <w:szCs w:val="24"/>
        </w:rPr>
      </w:pPr>
      <w:r w:rsidRPr="00061164">
        <w:rPr>
          <w:rFonts w:ascii="Times New Roman" w:hAnsi="Times New Roman"/>
          <w:b/>
          <w:sz w:val="24"/>
          <w:szCs w:val="24"/>
        </w:rPr>
        <w:t>Képviselő-testületének</w:t>
      </w:r>
    </w:p>
    <w:p w:rsidR="00061164" w:rsidRPr="00061164" w:rsidRDefault="00061164" w:rsidP="00061164">
      <w:pPr>
        <w:jc w:val="center"/>
        <w:rPr>
          <w:rFonts w:ascii="Times New Roman" w:hAnsi="Times New Roman"/>
          <w:b/>
          <w:sz w:val="24"/>
          <w:szCs w:val="24"/>
        </w:rPr>
      </w:pPr>
      <w:proofErr w:type="gramStart"/>
      <w:r w:rsidRPr="00061164">
        <w:rPr>
          <w:rFonts w:ascii="Times New Roman" w:hAnsi="Times New Roman"/>
          <w:b/>
          <w:sz w:val="24"/>
          <w:szCs w:val="24"/>
        </w:rPr>
        <w:t>..</w:t>
      </w:r>
      <w:proofErr w:type="gramEnd"/>
      <w:r w:rsidRPr="00061164">
        <w:rPr>
          <w:rFonts w:ascii="Times New Roman" w:hAnsi="Times New Roman"/>
          <w:b/>
          <w:sz w:val="24"/>
          <w:szCs w:val="24"/>
        </w:rPr>
        <w:t>/2019. ( I......) önkormányzati rendelete</w:t>
      </w:r>
    </w:p>
    <w:p w:rsidR="00061164" w:rsidRPr="00061164" w:rsidRDefault="00061164" w:rsidP="00061164">
      <w:pPr>
        <w:jc w:val="center"/>
        <w:rPr>
          <w:rFonts w:ascii="Times New Roman" w:hAnsi="Times New Roman"/>
          <w:b/>
          <w:bCs/>
          <w:sz w:val="24"/>
          <w:szCs w:val="24"/>
        </w:rPr>
      </w:pPr>
      <w:r w:rsidRPr="00061164">
        <w:rPr>
          <w:rFonts w:ascii="Times New Roman" w:hAnsi="Times New Roman"/>
          <w:b/>
          <w:sz w:val="24"/>
          <w:szCs w:val="24"/>
        </w:rPr>
        <w:t xml:space="preserve">Telki Község Helyi Építési Szabályzatáról </w:t>
      </w:r>
      <w:r w:rsidRPr="00061164">
        <w:rPr>
          <w:rFonts w:ascii="Times New Roman" w:hAnsi="Times New Roman"/>
          <w:b/>
          <w:bCs/>
          <w:sz w:val="24"/>
          <w:szCs w:val="24"/>
        </w:rPr>
        <w:t>és Szabályozási tervéről szóló</w:t>
      </w:r>
    </w:p>
    <w:p w:rsidR="00061164" w:rsidRPr="00061164" w:rsidRDefault="00061164" w:rsidP="00061164">
      <w:pPr>
        <w:jc w:val="center"/>
        <w:rPr>
          <w:rFonts w:ascii="Times New Roman" w:hAnsi="Times New Roman"/>
          <w:b/>
          <w:sz w:val="24"/>
          <w:szCs w:val="24"/>
        </w:rPr>
      </w:pPr>
      <w:r w:rsidRPr="00061164">
        <w:rPr>
          <w:rFonts w:ascii="Times New Roman" w:hAnsi="Times New Roman"/>
          <w:b/>
          <w:sz w:val="24"/>
          <w:szCs w:val="24"/>
        </w:rPr>
        <w:t>15/2016. (XII.13.) önkormányzati rendelet módosításáról</w:t>
      </w:r>
    </w:p>
    <w:p w:rsidR="00061164" w:rsidRPr="00061164" w:rsidRDefault="00061164" w:rsidP="00061164">
      <w:pPr>
        <w:rPr>
          <w:rFonts w:ascii="Times New Roman" w:hAnsi="Times New Roman"/>
          <w:sz w:val="24"/>
          <w:szCs w:val="24"/>
        </w:rPr>
      </w:pPr>
    </w:p>
    <w:p w:rsidR="00061164" w:rsidRPr="00061164" w:rsidRDefault="00061164" w:rsidP="00061164">
      <w:pPr>
        <w:rPr>
          <w:rFonts w:ascii="Times New Roman" w:hAnsi="Times New Roman"/>
          <w:sz w:val="24"/>
          <w:szCs w:val="24"/>
        </w:rPr>
      </w:pPr>
      <w:r w:rsidRPr="00061164">
        <w:rPr>
          <w:rFonts w:ascii="Times New Roman" w:hAnsi="Times New Roman"/>
          <w:sz w:val="24"/>
          <w:szCs w:val="24"/>
        </w:rPr>
        <w:t>Telki Község Önkormányzatának Képviselőtestülete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településfejlesztési koncepcióról, az integrált településfejlesztési stratégiáról és a településrendezési eszközökről, valamint egyes településrendezési sajátos jogintézményekről szóló 314/2012. (</w:t>
      </w:r>
      <w:proofErr w:type="spellStart"/>
      <w:r w:rsidRPr="00061164">
        <w:rPr>
          <w:rFonts w:ascii="Times New Roman" w:hAnsi="Times New Roman"/>
          <w:sz w:val="24"/>
          <w:szCs w:val="24"/>
        </w:rPr>
        <w:t>Xl</w:t>
      </w:r>
      <w:proofErr w:type="spellEnd"/>
      <w:r w:rsidRPr="00061164">
        <w:rPr>
          <w:rFonts w:ascii="Times New Roman" w:hAnsi="Times New Roman"/>
          <w:sz w:val="24"/>
          <w:szCs w:val="24"/>
        </w:rPr>
        <w:t xml:space="preserve">. 8.) Korm. rendelet </w:t>
      </w:r>
      <w:r w:rsidRPr="00061164">
        <w:rPr>
          <w:rFonts w:ascii="Times New Roman" w:hAnsi="Times New Roman"/>
          <w:bCs/>
          <w:sz w:val="24"/>
          <w:szCs w:val="24"/>
        </w:rPr>
        <w:t>38</w:t>
      </w:r>
      <w:r w:rsidRPr="00061164">
        <w:rPr>
          <w:rFonts w:ascii="Times New Roman" w:hAnsi="Times New Roman"/>
          <w:b/>
          <w:bCs/>
          <w:sz w:val="24"/>
          <w:szCs w:val="24"/>
        </w:rPr>
        <w:t xml:space="preserve">. </w:t>
      </w:r>
      <w:r w:rsidRPr="00061164">
        <w:rPr>
          <w:rFonts w:ascii="Times New Roman" w:hAnsi="Times New Roman"/>
          <w:sz w:val="24"/>
          <w:szCs w:val="24"/>
        </w:rPr>
        <w:t xml:space="preserve">§ (2) bekezdésében biztosított jogkörében eljáró </w:t>
      </w:r>
      <w:r w:rsidRPr="00061164">
        <w:rPr>
          <w:rFonts w:ascii="Times New Roman" w:hAnsi="Times New Roman"/>
          <w:sz w:val="24"/>
          <w:szCs w:val="24"/>
          <w:lang w:eastAsia="zh-CN"/>
        </w:rPr>
        <w:t>Pest Megyei Kormányhivatal</w:t>
      </w:r>
      <w:r w:rsidRPr="00061164">
        <w:rPr>
          <w:rFonts w:ascii="Times New Roman" w:hAnsi="Times New Roman"/>
          <w:sz w:val="24"/>
          <w:szCs w:val="24"/>
        </w:rPr>
        <w:t xml:space="preserve"> </w:t>
      </w:r>
      <w:r w:rsidRPr="00061164">
        <w:rPr>
          <w:rFonts w:ascii="Times New Roman" w:hAnsi="Times New Roman"/>
          <w:sz w:val="24"/>
          <w:szCs w:val="24"/>
          <w:lang w:eastAsia="zh-CN"/>
        </w:rPr>
        <w:t>Építésügyi, Hatósági, Oktatási és Törvényességi Felügyeleti Főosztály Építésügyi Osztály, Pest Megyei Kormányhivatal Környezetvédelmi és Természetvédelmi Főosztály, Közép-Duna - völgyi Vízügyi Igazgatóság, Pest Megyei Katasztrófavédelmi Igazgatóság, Budapest Főváros Kormányhivatala Kormánymegbízott, Pest Megyei Kormányhivatal Műszaki Engedélyezési és Fogyasztóvédelmi Főosztály Bányászati Osztály</w:t>
      </w:r>
      <w:r w:rsidRPr="00061164">
        <w:rPr>
          <w:rFonts w:ascii="Times New Roman" w:hAnsi="Times New Roman"/>
          <w:sz w:val="24"/>
          <w:szCs w:val="24"/>
        </w:rPr>
        <w:t>, Pest Megyei Kormányhivatal Műszaki Engedélyezési és Fogyasztóvédelmi Főosztály</w:t>
      </w:r>
      <w:r w:rsidRPr="00061164">
        <w:rPr>
          <w:rFonts w:ascii="Times New Roman" w:hAnsi="Times New Roman"/>
          <w:b/>
          <w:sz w:val="24"/>
          <w:szCs w:val="24"/>
        </w:rPr>
        <w:t xml:space="preserve">, </w:t>
      </w:r>
      <w:r w:rsidRPr="00061164">
        <w:rPr>
          <w:rFonts w:ascii="Times New Roman" w:hAnsi="Times New Roman"/>
          <w:sz w:val="24"/>
          <w:szCs w:val="24"/>
        </w:rPr>
        <w:t xml:space="preserve">Pest Megyei Kormányhivatal Érdi Járási Hivatal Járási Építésügyi és Örökségvédelmi Hivatal Örökségvédelmi Osztály, Pest Megyei Kormányhivatal Földhivatali Főosztály, Pest Megyei Kormányhivatal Földművelésügyi és Erdőgazdálkodási Főosztály, Budaörsi Rendőrkapitányság Budakeszi Rendőrőrs Rendészeti Alosztály, Nemzeti Média- és Hírközlési Hatóság Építmény Engedélyezési Osztály, Állami Népegészségügyi és Tisztiorvosi Szolgálat Országos Tisztifőorvosi Hivatal, Magyar Közút Nonprofit Zrt., </w:t>
      </w:r>
      <w:r w:rsidRPr="00061164">
        <w:rPr>
          <w:rFonts w:ascii="Times New Roman" w:hAnsi="Times New Roman"/>
          <w:bCs/>
          <w:sz w:val="24"/>
          <w:szCs w:val="24"/>
        </w:rPr>
        <w:t xml:space="preserve">Közlekedésfejlesztési Koordinációs Központ, Nemzeti Infrastruktúra Fejlesztő Zrt., </w:t>
      </w:r>
      <w:r w:rsidRPr="00061164">
        <w:rPr>
          <w:rFonts w:ascii="Times New Roman" w:hAnsi="Times New Roman"/>
          <w:sz w:val="24"/>
          <w:szCs w:val="24"/>
        </w:rPr>
        <w:t xml:space="preserve">Pest Megye </w:t>
      </w:r>
      <w:proofErr w:type="spellStart"/>
      <w:r w:rsidRPr="00061164">
        <w:rPr>
          <w:rFonts w:ascii="Times New Roman" w:hAnsi="Times New Roman"/>
          <w:sz w:val="24"/>
          <w:szCs w:val="24"/>
        </w:rPr>
        <w:t>Főépítésze</w:t>
      </w:r>
      <w:proofErr w:type="spellEnd"/>
      <w:r w:rsidRPr="00061164">
        <w:rPr>
          <w:rFonts w:ascii="Times New Roman" w:hAnsi="Times New Roman"/>
          <w:sz w:val="24"/>
          <w:szCs w:val="24"/>
        </w:rPr>
        <w:t>, Budajenő Polgármesteri Hivatal, Nagykovácsi Polgármesteri Hivatal, Páty Község Polgármesteri Hivatal, Tök Polgármesteri Hivatal</w:t>
      </w:r>
      <w:r>
        <w:rPr>
          <w:rFonts w:ascii="Times New Roman" w:hAnsi="Times New Roman"/>
          <w:sz w:val="24"/>
          <w:szCs w:val="24"/>
        </w:rPr>
        <w:t xml:space="preserve"> </w:t>
      </w:r>
      <w:r w:rsidRPr="00061164">
        <w:rPr>
          <w:rFonts w:ascii="Times New Roman" w:hAnsi="Times New Roman"/>
          <w:sz w:val="24"/>
          <w:szCs w:val="24"/>
        </w:rPr>
        <w:t>véleményének kikérésével és a partnerségi egyeztetés szabályainak megfelelően a következőket rendeli el:</w:t>
      </w:r>
    </w:p>
    <w:p w:rsidR="00061164" w:rsidRDefault="00061164" w:rsidP="00061164">
      <w:pPr>
        <w:spacing w:line="259" w:lineRule="auto"/>
        <w:ind w:left="3540" w:firstLine="708"/>
        <w:jc w:val="left"/>
        <w:rPr>
          <w:rFonts w:ascii="Times New Roman" w:hAnsi="Times New Roman"/>
          <w:sz w:val="24"/>
          <w:szCs w:val="24"/>
        </w:rPr>
      </w:pPr>
    </w:p>
    <w:p w:rsidR="00061164" w:rsidRPr="00061164" w:rsidRDefault="00061164" w:rsidP="00061164">
      <w:pPr>
        <w:spacing w:line="259" w:lineRule="auto"/>
        <w:ind w:left="3540" w:firstLine="708"/>
        <w:jc w:val="left"/>
        <w:rPr>
          <w:rFonts w:ascii="Times New Roman" w:hAnsi="Times New Roman"/>
          <w:sz w:val="24"/>
          <w:szCs w:val="24"/>
        </w:rPr>
      </w:pPr>
      <w:r>
        <w:rPr>
          <w:rFonts w:ascii="Times New Roman" w:hAnsi="Times New Roman"/>
          <w:b/>
          <w:sz w:val="24"/>
          <w:szCs w:val="24"/>
        </w:rPr>
        <w:t xml:space="preserve">      </w:t>
      </w:r>
      <w:r w:rsidRPr="00061164">
        <w:rPr>
          <w:rFonts w:ascii="Times New Roman" w:hAnsi="Times New Roman"/>
          <w:b/>
          <w:sz w:val="24"/>
          <w:szCs w:val="24"/>
        </w:rPr>
        <w:t>1. §</w:t>
      </w:r>
    </w:p>
    <w:p w:rsidR="00061164" w:rsidRPr="00061164" w:rsidRDefault="00061164" w:rsidP="00061164">
      <w:pPr>
        <w:jc w:val="center"/>
        <w:rPr>
          <w:rFonts w:ascii="Times New Roman" w:hAnsi="Times New Roman"/>
          <w:b/>
          <w:sz w:val="24"/>
          <w:szCs w:val="24"/>
        </w:rPr>
      </w:pPr>
    </w:p>
    <w:p w:rsidR="00061164" w:rsidRPr="00061164" w:rsidRDefault="00061164" w:rsidP="00061164">
      <w:pPr>
        <w:pStyle w:val="Listaszerbekezds"/>
        <w:widowControl w:val="0"/>
        <w:numPr>
          <w:ilvl w:val="0"/>
          <w:numId w:val="1"/>
        </w:numPr>
        <w:autoSpaceDE w:val="0"/>
        <w:autoSpaceDN w:val="0"/>
        <w:adjustRightInd w:val="0"/>
        <w:ind w:left="567" w:hanging="567"/>
        <w:contextualSpacing w:val="0"/>
        <w:rPr>
          <w:rFonts w:ascii="Times New Roman" w:hAnsi="Times New Roman"/>
          <w:bCs/>
          <w:sz w:val="24"/>
          <w:szCs w:val="24"/>
        </w:rPr>
      </w:pPr>
      <w:r w:rsidRPr="00061164">
        <w:rPr>
          <w:rFonts w:ascii="Times New Roman" w:hAnsi="Times New Roman"/>
          <w:bCs/>
          <w:sz w:val="24"/>
          <w:szCs w:val="24"/>
        </w:rPr>
        <w:t>Telki Község Önkormányzata Képviselő</w:t>
      </w:r>
      <w:r w:rsidRPr="00061164">
        <w:rPr>
          <w:rFonts w:ascii="Times New Roman" w:hAnsi="Times New Roman"/>
          <w:sz w:val="24"/>
          <w:szCs w:val="24"/>
        </w:rPr>
        <w:t>t</w:t>
      </w:r>
      <w:r w:rsidRPr="00061164">
        <w:rPr>
          <w:rFonts w:ascii="Times New Roman" w:hAnsi="Times New Roman"/>
          <w:bCs/>
          <w:sz w:val="24"/>
          <w:szCs w:val="24"/>
        </w:rPr>
        <w:t xml:space="preserve">estületének Telki Község Helyi Építési Szabályzatáról és Szabályozási tervéről szóló </w:t>
      </w:r>
      <w:r w:rsidRPr="00061164">
        <w:rPr>
          <w:rFonts w:ascii="Times New Roman" w:hAnsi="Times New Roman"/>
          <w:sz w:val="24"/>
          <w:szCs w:val="24"/>
        </w:rPr>
        <w:t xml:space="preserve">15/2016. (XII.13.) </w:t>
      </w:r>
      <w:r w:rsidRPr="00061164">
        <w:rPr>
          <w:rFonts w:ascii="Times New Roman" w:hAnsi="Times New Roman"/>
          <w:bCs/>
          <w:sz w:val="24"/>
          <w:szCs w:val="24"/>
        </w:rPr>
        <w:t>önkormányzati rendelete (a továbbiakban: Rendelet) 3</w:t>
      </w:r>
      <w:r w:rsidRPr="00061164">
        <w:rPr>
          <w:rFonts w:ascii="Times New Roman" w:hAnsi="Times New Roman"/>
          <w:sz w:val="24"/>
          <w:szCs w:val="24"/>
        </w:rPr>
        <w:t>8.§ (1) bekezdése</w:t>
      </w:r>
      <w:r w:rsidRPr="00061164">
        <w:rPr>
          <w:rFonts w:ascii="Times New Roman" w:hAnsi="Times New Roman"/>
          <w:bCs/>
          <w:sz w:val="24"/>
          <w:szCs w:val="24"/>
        </w:rPr>
        <w:t xml:space="preserve"> 3. táblázata az alábbi 24. sorral egészül ki:</w:t>
      </w:r>
    </w:p>
    <w:p w:rsidR="00061164" w:rsidRPr="00061164" w:rsidRDefault="00061164" w:rsidP="00061164">
      <w:pPr>
        <w:widowControl w:val="0"/>
        <w:autoSpaceDE w:val="0"/>
        <w:autoSpaceDN w:val="0"/>
        <w:adjustRightInd w:val="0"/>
        <w:rPr>
          <w:rFonts w:ascii="Times New Roman" w:hAnsi="Times New Roman"/>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
        <w:gridCol w:w="1020"/>
        <w:gridCol w:w="850"/>
        <w:gridCol w:w="19"/>
        <w:gridCol w:w="1116"/>
        <w:gridCol w:w="1162"/>
        <w:gridCol w:w="31"/>
        <w:gridCol w:w="1131"/>
        <w:gridCol w:w="23"/>
        <w:gridCol w:w="1139"/>
        <w:gridCol w:w="16"/>
        <w:gridCol w:w="1146"/>
        <w:gridCol w:w="8"/>
        <w:gridCol w:w="1155"/>
      </w:tblGrid>
      <w:tr w:rsidR="00061164" w:rsidRPr="00061164" w:rsidTr="00EE3263">
        <w:tc>
          <w:tcPr>
            <w:tcW w:w="256" w:type="dxa"/>
            <w:shd w:val="clear" w:color="auto" w:fill="D9D9D9"/>
          </w:tcPr>
          <w:p w:rsidR="00061164" w:rsidRPr="00061164" w:rsidRDefault="00061164" w:rsidP="00EE3263">
            <w:pPr>
              <w:ind w:left="-108" w:right="-154"/>
              <w:jc w:val="right"/>
              <w:rPr>
                <w:rFonts w:ascii="Times New Roman" w:hAnsi="Times New Roman"/>
                <w:sz w:val="24"/>
                <w:szCs w:val="24"/>
              </w:rPr>
            </w:pPr>
          </w:p>
        </w:tc>
        <w:tc>
          <w:tcPr>
            <w:tcW w:w="1020" w:type="dxa"/>
            <w:shd w:val="clear" w:color="auto" w:fill="D9D9D9"/>
          </w:tcPr>
          <w:p w:rsidR="00061164" w:rsidRPr="00061164" w:rsidRDefault="00061164" w:rsidP="00EE3263">
            <w:pPr>
              <w:ind w:left="33" w:right="-154"/>
              <w:jc w:val="center"/>
              <w:rPr>
                <w:rFonts w:ascii="Times New Roman" w:hAnsi="Times New Roman"/>
                <w:sz w:val="24"/>
                <w:szCs w:val="24"/>
              </w:rPr>
            </w:pPr>
            <w:r w:rsidRPr="00061164">
              <w:rPr>
                <w:rFonts w:ascii="Times New Roman" w:hAnsi="Times New Roman"/>
                <w:sz w:val="24"/>
                <w:szCs w:val="24"/>
              </w:rPr>
              <w:t>A</w:t>
            </w:r>
          </w:p>
        </w:tc>
        <w:tc>
          <w:tcPr>
            <w:tcW w:w="850" w:type="dxa"/>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B</w:t>
            </w:r>
          </w:p>
        </w:tc>
        <w:tc>
          <w:tcPr>
            <w:tcW w:w="1135"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C</w:t>
            </w:r>
          </w:p>
        </w:tc>
        <w:tc>
          <w:tcPr>
            <w:tcW w:w="1162" w:type="dxa"/>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D</w:t>
            </w:r>
          </w:p>
        </w:tc>
        <w:tc>
          <w:tcPr>
            <w:tcW w:w="1162"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E</w:t>
            </w:r>
          </w:p>
        </w:tc>
        <w:tc>
          <w:tcPr>
            <w:tcW w:w="1162"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F</w:t>
            </w:r>
          </w:p>
        </w:tc>
        <w:tc>
          <w:tcPr>
            <w:tcW w:w="1162"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G</w:t>
            </w:r>
          </w:p>
        </w:tc>
        <w:tc>
          <w:tcPr>
            <w:tcW w:w="1163"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H</w:t>
            </w:r>
          </w:p>
        </w:tc>
      </w:tr>
      <w:tr w:rsidR="00061164" w:rsidRPr="00061164" w:rsidTr="00EE3263">
        <w:tc>
          <w:tcPr>
            <w:tcW w:w="256" w:type="dxa"/>
            <w:shd w:val="clear" w:color="auto" w:fill="D9D9D9"/>
          </w:tcPr>
          <w:p w:rsidR="00061164" w:rsidRPr="00061164" w:rsidRDefault="00061164" w:rsidP="00EE3263">
            <w:pPr>
              <w:ind w:left="-108"/>
              <w:jc w:val="right"/>
              <w:rPr>
                <w:rFonts w:ascii="Times New Roman" w:hAnsi="Times New Roman"/>
                <w:sz w:val="24"/>
                <w:szCs w:val="24"/>
              </w:rPr>
            </w:pPr>
            <w:r w:rsidRPr="00061164">
              <w:rPr>
                <w:rFonts w:ascii="Times New Roman" w:hAnsi="Times New Roman"/>
                <w:sz w:val="24"/>
                <w:szCs w:val="24"/>
              </w:rPr>
              <w:t>1</w:t>
            </w:r>
          </w:p>
        </w:tc>
        <w:tc>
          <w:tcPr>
            <w:tcW w:w="1020" w:type="dxa"/>
            <w:vMerge w:val="restart"/>
            <w:shd w:val="clear" w:color="auto" w:fill="D9D9D9"/>
          </w:tcPr>
          <w:p w:rsidR="00061164" w:rsidRPr="00061164" w:rsidRDefault="00061164" w:rsidP="00EE3263">
            <w:pPr>
              <w:jc w:val="center"/>
              <w:rPr>
                <w:rFonts w:ascii="Times New Roman" w:hAnsi="Times New Roman"/>
                <w:b/>
                <w:sz w:val="24"/>
                <w:szCs w:val="24"/>
              </w:rPr>
            </w:pPr>
          </w:p>
          <w:p w:rsidR="00061164" w:rsidRPr="00061164" w:rsidRDefault="00061164" w:rsidP="00EE3263">
            <w:pPr>
              <w:jc w:val="center"/>
              <w:rPr>
                <w:rFonts w:ascii="Times New Roman" w:hAnsi="Times New Roman"/>
                <w:b/>
                <w:sz w:val="24"/>
                <w:szCs w:val="24"/>
              </w:rPr>
            </w:pPr>
          </w:p>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Építési övezet</w:t>
            </w:r>
          </w:p>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jele</w:t>
            </w:r>
          </w:p>
        </w:tc>
        <w:tc>
          <w:tcPr>
            <w:tcW w:w="1985" w:type="dxa"/>
            <w:gridSpan w:val="3"/>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 kialakítható telek</w:t>
            </w:r>
          </w:p>
        </w:tc>
        <w:tc>
          <w:tcPr>
            <w:tcW w:w="5811" w:type="dxa"/>
            <w:gridSpan w:val="9"/>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Az építési övezetben</w:t>
            </w:r>
          </w:p>
        </w:tc>
      </w:tr>
      <w:tr w:rsidR="00061164" w:rsidRPr="00061164" w:rsidTr="00EE3263">
        <w:tc>
          <w:tcPr>
            <w:tcW w:w="256" w:type="dxa"/>
            <w:shd w:val="clear" w:color="auto" w:fill="D9D9D9"/>
          </w:tcPr>
          <w:p w:rsidR="00061164" w:rsidRPr="00061164" w:rsidRDefault="00061164" w:rsidP="00EE3263">
            <w:pPr>
              <w:ind w:left="-108"/>
              <w:jc w:val="right"/>
              <w:rPr>
                <w:rFonts w:ascii="Times New Roman" w:hAnsi="Times New Roman"/>
                <w:sz w:val="24"/>
                <w:szCs w:val="24"/>
              </w:rPr>
            </w:pPr>
            <w:r w:rsidRPr="00061164">
              <w:rPr>
                <w:rFonts w:ascii="Times New Roman" w:hAnsi="Times New Roman"/>
                <w:sz w:val="24"/>
                <w:szCs w:val="24"/>
              </w:rPr>
              <w:t>2</w:t>
            </w:r>
          </w:p>
        </w:tc>
        <w:tc>
          <w:tcPr>
            <w:tcW w:w="1020" w:type="dxa"/>
            <w:vMerge/>
            <w:shd w:val="clear" w:color="auto" w:fill="D9D9D9"/>
          </w:tcPr>
          <w:p w:rsidR="00061164" w:rsidRPr="00061164" w:rsidRDefault="00061164" w:rsidP="00EE3263">
            <w:pPr>
              <w:jc w:val="center"/>
              <w:rPr>
                <w:rFonts w:ascii="Times New Roman" w:hAnsi="Times New Roman"/>
                <w:b/>
                <w:sz w:val="24"/>
                <w:szCs w:val="24"/>
              </w:rPr>
            </w:pPr>
          </w:p>
        </w:tc>
        <w:tc>
          <w:tcPr>
            <w:tcW w:w="869" w:type="dxa"/>
            <w:gridSpan w:val="2"/>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legkisebb területe</w:t>
            </w:r>
          </w:p>
        </w:tc>
        <w:tc>
          <w:tcPr>
            <w:tcW w:w="1116" w:type="dxa"/>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kialakítható legkisebb telek-szélessége/</w:t>
            </w:r>
          </w:p>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mélysége</w:t>
            </w:r>
          </w:p>
        </w:tc>
        <w:tc>
          <w:tcPr>
            <w:tcW w:w="1193" w:type="dxa"/>
            <w:gridSpan w:val="2"/>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 beépítési mód</w:t>
            </w:r>
          </w:p>
        </w:tc>
        <w:tc>
          <w:tcPr>
            <w:tcW w:w="1154" w:type="dxa"/>
            <w:gridSpan w:val="2"/>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 beépítettség megengedett legnagyobb mértéke</w:t>
            </w:r>
          </w:p>
        </w:tc>
        <w:tc>
          <w:tcPr>
            <w:tcW w:w="1155" w:type="dxa"/>
            <w:gridSpan w:val="2"/>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az épület-magasság</w:t>
            </w:r>
          </w:p>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megengedett legnagyobb mértéke</w:t>
            </w:r>
          </w:p>
        </w:tc>
        <w:tc>
          <w:tcPr>
            <w:tcW w:w="1154" w:type="dxa"/>
            <w:gridSpan w:val="2"/>
            <w:shd w:val="clear" w:color="auto" w:fill="D9D9D9"/>
          </w:tcPr>
          <w:p w:rsidR="00061164" w:rsidRPr="00061164" w:rsidRDefault="00061164" w:rsidP="00EE3263">
            <w:pPr>
              <w:jc w:val="center"/>
              <w:rPr>
                <w:rFonts w:ascii="Times New Roman" w:hAnsi="Times New Roman"/>
                <w:b/>
                <w:sz w:val="24"/>
                <w:szCs w:val="24"/>
              </w:rPr>
            </w:pPr>
            <w:r w:rsidRPr="00061164">
              <w:rPr>
                <w:rFonts w:ascii="Times New Roman" w:hAnsi="Times New Roman"/>
                <w:b/>
                <w:sz w:val="24"/>
                <w:szCs w:val="24"/>
              </w:rPr>
              <w:t>a zöldfelület legkisebb mértéke</w:t>
            </w:r>
          </w:p>
        </w:tc>
        <w:tc>
          <w:tcPr>
            <w:tcW w:w="1155" w:type="dxa"/>
            <w:shd w:val="clear" w:color="auto" w:fill="D9D9D9"/>
          </w:tcPr>
          <w:p w:rsidR="00061164" w:rsidRPr="00061164" w:rsidRDefault="00061164" w:rsidP="00EE3263">
            <w:pPr>
              <w:jc w:val="center"/>
              <w:rPr>
                <w:rFonts w:ascii="Times New Roman" w:hAnsi="Times New Roman"/>
                <w:b/>
                <w:bCs/>
                <w:sz w:val="24"/>
                <w:szCs w:val="24"/>
              </w:rPr>
            </w:pPr>
            <w:r w:rsidRPr="00061164">
              <w:rPr>
                <w:rFonts w:ascii="Times New Roman" w:hAnsi="Times New Roman"/>
                <w:b/>
                <w:bCs/>
                <w:sz w:val="24"/>
                <w:szCs w:val="24"/>
              </w:rPr>
              <w:t>legnagyobb</w:t>
            </w:r>
          </w:p>
          <w:p w:rsidR="00061164" w:rsidRPr="00061164" w:rsidRDefault="00061164" w:rsidP="00EE3263">
            <w:pPr>
              <w:jc w:val="center"/>
              <w:rPr>
                <w:rFonts w:ascii="Times New Roman" w:hAnsi="Times New Roman"/>
                <w:b/>
                <w:bCs/>
                <w:sz w:val="24"/>
                <w:szCs w:val="24"/>
              </w:rPr>
            </w:pPr>
            <w:r w:rsidRPr="00061164">
              <w:rPr>
                <w:rFonts w:ascii="Times New Roman" w:hAnsi="Times New Roman"/>
                <w:b/>
                <w:bCs/>
                <w:sz w:val="24"/>
                <w:szCs w:val="24"/>
              </w:rPr>
              <w:t>megengedett</w:t>
            </w:r>
          </w:p>
          <w:p w:rsidR="00061164" w:rsidRPr="00061164" w:rsidRDefault="00061164" w:rsidP="00EE3263">
            <w:pPr>
              <w:jc w:val="center"/>
              <w:rPr>
                <w:rFonts w:ascii="Times New Roman" w:hAnsi="Times New Roman"/>
                <w:b/>
                <w:bCs/>
                <w:sz w:val="24"/>
                <w:szCs w:val="24"/>
              </w:rPr>
            </w:pPr>
            <w:r w:rsidRPr="00061164">
              <w:rPr>
                <w:rFonts w:ascii="Times New Roman" w:hAnsi="Times New Roman"/>
                <w:b/>
                <w:bCs/>
                <w:sz w:val="24"/>
                <w:szCs w:val="24"/>
              </w:rPr>
              <w:t>terepszint</w:t>
            </w:r>
          </w:p>
          <w:p w:rsidR="00061164" w:rsidRPr="00061164" w:rsidRDefault="00061164" w:rsidP="00EE3263">
            <w:pPr>
              <w:jc w:val="center"/>
              <w:rPr>
                <w:rFonts w:ascii="Times New Roman" w:hAnsi="Times New Roman"/>
                <w:b/>
                <w:bCs/>
                <w:sz w:val="24"/>
                <w:szCs w:val="24"/>
              </w:rPr>
            </w:pPr>
            <w:r w:rsidRPr="00061164">
              <w:rPr>
                <w:rFonts w:ascii="Times New Roman" w:hAnsi="Times New Roman"/>
                <w:b/>
                <w:bCs/>
                <w:sz w:val="24"/>
                <w:szCs w:val="24"/>
              </w:rPr>
              <w:t>alatti</w:t>
            </w:r>
          </w:p>
          <w:p w:rsidR="00061164" w:rsidRPr="00061164" w:rsidRDefault="00061164" w:rsidP="00EE3263">
            <w:pPr>
              <w:jc w:val="center"/>
              <w:rPr>
                <w:rFonts w:ascii="Times New Roman" w:hAnsi="Times New Roman"/>
                <w:b/>
                <w:sz w:val="24"/>
                <w:szCs w:val="24"/>
              </w:rPr>
            </w:pPr>
            <w:r w:rsidRPr="00061164">
              <w:rPr>
                <w:rFonts w:ascii="Times New Roman" w:hAnsi="Times New Roman"/>
                <w:b/>
                <w:bCs/>
                <w:sz w:val="24"/>
                <w:szCs w:val="24"/>
              </w:rPr>
              <w:t>beépítettség</w:t>
            </w:r>
          </w:p>
        </w:tc>
      </w:tr>
      <w:tr w:rsidR="00061164" w:rsidRPr="00061164" w:rsidTr="00EE3263">
        <w:tc>
          <w:tcPr>
            <w:tcW w:w="256" w:type="dxa"/>
            <w:shd w:val="clear" w:color="auto" w:fill="D9D9D9"/>
          </w:tcPr>
          <w:p w:rsidR="00061164" w:rsidRPr="00061164" w:rsidRDefault="00061164" w:rsidP="00EE3263">
            <w:pPr>
              <w:ind w:left="-108"/>
              <w:jc w:val="right"/>
              <w:rPr>
                <w:rFonts w:ascii="Times New Roman" w:hAnsi="Times New Roman"/>
                <w:sz w:val="24"/>
                <w:szCs w:val="24"/>
              </w:rPr>
            </w:pPr>
            <w:r w:rsidRPr="00061164">
              <w:rPr>
                <w:rFonts w:ascii="Times New Roman" w:hAnsi="Times New Roman"/>
                <w:sz w:val="24"/>
                <w:szCs w:val="24"/>
              </w:rPr>
              <w:lastRenderedPageBreak/>
              <w:t>3</w:t>
            </w:r>
          </w:p>
        </w:tc>
        <w:tc>
          <w:tcPr>
            <w:tcW w:w="1020" w:type="dxa"/>
            <w:shd w:val="clear" w:color="auto" w:fill="D9D9D9"/>
          </w:tcPr>
          <w:p w:rsidR="00061164" w:rsidRPr="00061164" w:rsidRDefault="00061164" w:rsidP="00EE3263">
            <w:pPr>
              <w:jc w:val="center"/>
              <w:rPr>
                <w:rFonts w:ascii="Times New Roman" w:hAnsi="Times New Roman"/>
                <w:sz w:val="24"/>
                <w:szCs w:val="24"/>
              </w:rPr>
            </w:pPr>
          </w:p>
        </w:tc>
        <w:tc>
          <w:tcPr>
            <w:tcW w:w="869"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(m</w:t>
            </w:r>
            <w:r w:rsidRPr="00061164">
              <w:rPr>
                <w:rFonts w:ascii="Times New Roman" w:hAnsi="Times New Roman"/>
                <w:sz w:val="24"/>
                <w:szCs w:val="24"/>
                <w:vertAlign w:val="superscript"/>
              </w:rPr>
              <w:t>2</w:t>
            </w:r>
            <w:r w:rsidRPr="00061164">
              <w:rPr>
                <w:rFonts w:ascii="Times New Roman" w:hAnsi="Times New Roman"/>
                <w:sz w:val="24"/>
                <w:szCs w:val="24"/>
              </w:rPr>
              <w:t>)</w:t>
            </w:r>
          </w:p>
        </w:tc>
        <w:tc>
          <w:tcPr>
            <w:tcW w:w="1116" w:type="dxa"/>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(m)</w:t>
            </w:r>
          </w:p>
        </w:tc>
        <w:tc>
          <w:tcPr>
            <w:tcW w:w="1193"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rövidítés</w:t>
            </w:r>
          </w:p>
        </w:tc>
        <w:tc>
          <w:tcPr>
            <w:tcW w:w="1154"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w:t>
            </w:r>
          </w:p>
        </w:tc>
        <w:tc>
          <w:tcPr>
            <w:tcW w:w="1155"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(m)</w:t>
            </w:r>
          </w:p>
        </w:tc>
        <w:tc>
          <w:tcPr>
            <w:tcW w:w="1154" w:type="dxa"/>
            <w:gridSpan w:val="2"/>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w:t>
            </w:r>
          </w:p>
        </w:tc>
        <w:tc>
          <w:tcPr>
            <w:tcW w:w="1155" w:type="dxa"/>
            <w:shd w:val="clear" w:color="auto" w:fill="D9D9D9"/>
          </w:tcPr>
          <w:p w:rsidR="00061164" w:rsidRPr="00061164" w:rsidRDefault="00061164" w:rsidP="00EE3263">
            <w:pPr>
              <w:jc w:val="center"/>
              <w:rPr>
                <w:rFonts w:ascii="Times New Roman" w:hAnsi="Times New Roman"/>
                <w:sz w:val="24"/>
                <w:szCs w:val="24"/>
              </w:rPr>
            </w:pPr>
            <w:r w:rsidRPr="00061164">
              <w:rPr>
                <w:rFonts w:ascii="Times New Roman" w:hAnsi="Times New Roman"/>
                <w:sz w:val="24"/>
                <w:szCs w:val="24"/>
              </w:rPr>
              <w:t>(%)</w:t>
            </w:r>
          </w:p>
        </w:tc>
      </w:tr>
      <w:tr w:rsidR="00061164" w:rsidRPr="00061164" w:rsidTr="00EE3263">
        <w:tc>
          <w:tcPr>
            <w:tcW w:w="256" w:type="dxa"/>
            <w:shd w:val="clear" w:color="auto" w:fill="D9D9D9"/>
            <w:vAlign w:val="center"/>
          </w:tcPr>
          <w:p w:rsidR="00061164" w:rsidRPr="00061164" w:rsidRDefault="00061164" w:rsidP="00EE3263">
            <w:pPr>
              <w:ind w:left="-108"/>
              <w:jc w:val="center"/>
              <w:rPr>
                <w:rFonts w:ascii="Times New Roman" w:hAnsi="Times New Roman"/>
                <w:color w:val="FF0000"/>
                <w:sz w:val="24"/>
                <w:szCs w:val="24"/>
              </w:rPr>
            </w:pPr>
            <w:r w:rsidRPr="00061164">
              <w:rPr>
                <w:rFonts w:ascii="Times New Roman" w:hAnsi="Times New Roman"/>
                <w:color w:val="FF0000"/>
                <w:sz w:val="24"/>
                <w:szCs w:val="24"/>
              </w:rPr>
              <w:t>24</w:t>
            </w:r>
          </w:p>
        </w:tc>
        <w:tc>
          <w:tcPr>
            <w:tcW w:w="1020" w:type="dxa"/>
            <w:shd w:val="clear" w:color="auto" w:fill="auto"/>
            <w:vAlign w:val="center"/>
          </w:tcPr>
          <w:p w:rsidR="00061164" w:rsidRPr="00061164" w:rsidRDefault="00061164" w:rsidP="00EE3263">
            <w:pPr>
              <w:pStyle w:val="HESZtablazat1"/>
              <w:spacing w:before="40" w:after="40" w:line="228" w:lineRule="auto"/>
              <w:jc w:val="center"/>
              <w:rPr>
                <w:color w:val="FF0000"/>
              </w:rPr>
            </w:pPr>
            <w:proofErr w:type="spellStart"/>
            <w:r w:rsidRPr="00061164">
              <w:rPr>
                <w:color w:val="FF0000"/>
              </w:rPr>
              <w:t>Vt</w:t>
            </w:r>
            <w:proofErr w:type="spellEnd"/>
            <w:r w:rsidRPr="00061164">
              <w:rPr>
                <w:color w:val="FF0000"/>
              </w:rPr>
              <w:t>-</w:t>
            </w:r>
            <w:proofErr w:type="spellStart"/>
            <w:r w:rsidRPr="00061164">
              <w:rPr>
                <w:color w:val="FF0000"/>
              </w:rPr>
              <w:t>Kt</w:t>
            </w:r>
            <w:proofErr w:type="spellEnd"/>
            <w:r w:rsidRPr="00061164">
              <w:rPr>
                <w:color w:val="FF0000"/>
              </w:rPr>
              <w:t>-S</w:t>
            </w:r>
          </w:p>
        </w:tc>
        <w:tc>
          <w:tcPr>
            <w:tcW w:w="869" w:type="dxa"/>
            <w:gridSpan w:val="2"/>
            <w:shd w:val="clear" w:color="auto" w:fill="auto"/>
            <w:vAlign w:val="center"/>
          </w:tcPr>
          <w:p w:rsidR="00061164" w:rsidRPr="00061164" w:rsidRDefault="00061164" w:rsidP="00EE3263">
            <w:pPr>
              <w:pStyle w:val="HESZtablazat2"/>
              <w:spacing w:before="40" w:after="40" w:line="228" w:lineRule="auto"/>
              <w:rPr>
                <w:color w:val="FF0000"/>
              </w:rPr>
            </w:pPr>
            <w:r w:rsidRPr="00061164">
              <w:rPr>
                <w:color w:val="FF0000"/>
              </w:rPr>
              <w:t>1000</w:t>
            </w:r>
          </w:p>
        </w:tc>
        <w:tc>
          <w:tcPr>
            <w:tcW w:w="1116" w:type="dxa"/>
            <w:shd w:val="clear" w:color="auto" w:fill="auto"/>
          </w:tcPr>
          <w:p w:rsidR="00061164" w:rsidRPr="00061164" w:rsidRDefault="00061164" w:rsidP="00EE3263">
            <w:pPr>
              <w:jc w:val="center"/>
              <w:rPr>
                <w:rFonts w:ascii="Times New Roman" w:hAnsi="Times New Roman"/>
                <w:color w:val="FF0000"/>
                <w:sz w:val="24"/>
                <w:szCs w:val="24"/>
              </w:rPr>
            </w:pPr>
          </w:p>
        </w:tc>
        <w:tc>
          <w:tcPr>
            <w:tcW w:w="1193" w:type="dxa"/>
            <w:gridSpan w:val="2"/>
            <w:shd w:val="clear" w:color="auto" w:fill="auto"/>
            <w:vAlign w:val="center"/>
          </w:tcPr>
          <w:p w:rsidR="00061164" w:rsidRPr="00061164" w:rsidRDefault="00061164" w:rsidP="00EE3263">
            <w:pPr>
              <w:pStyle w:val="HESZtablazat2"/>
              <w:spacing w:before="40" w:after="40" w:line="228" w:lineRule="auto"/>
              <w:rPr>
                <w:color w:val="FF0000"/>
              </w:rPr>
            </w:pPr>
            <w:r w:rsidRPr="00061164">
              <w:rPr>
                <w:color w:val="FF0000"/>
              </w:rPr>
              <w:t>SZ</w:t>
            </w:r>
          </w:p>
        </w:tc>
        <w:tc>
          <w:tcPr>
            <w:tcW w:w="1154" w:type="dxa"/>
            <w:gridSpan w:val="2"/>
            <w:shd w:val="clear" w:color="auto" w:fill="auto"/>
            <w:vAlign w:val="center"/>
          </w:tcPr>
          <w:p w:rsidR="00061164" w:rsidRPr="00061164" w:rsidRDefault="00061164" w:rsidP="00EE3263">
            <w:pPr>
              <w:pStyle w:val="HESZtablazat2"/>
              <w:spacing w:before="40" w:after="40" w:line="228" w:lineRule="auto"/>
              <w:rPr>
                <w:color w:val="FF0000"/>
              </w:rPr>
            </w:pPr>
            <w:r w:rsidRPr="00061164">
              <w:rPr>
                <w:color w:val="FF0000"/>
              </w:rPr>
              <w:t>65</w:t>
            </w:r>
          </w:p>
        </w:tc>
        <w:tc>
          <w:tcPr>
            <w:tcW w:w="1155" w:type="dxa"/>
            <w:gridSpan w:val="2"/>
            <w:shd w:val="clear" w:color="auto" w:fill="auto"/>
            <w:vAlign w:val="center"/>
          </w:tcPr>
          <w:p w:rsidR="00061164" w:rsidRPr="00061164" w:rsidRDefault="00061164" w:rsidP="00EE3263">
            <w:pPr>
              <w:pStyle w:val="HESZtablazat2"/>
              <w:spacing w:before="40" w:after="40" w:line="228" w:lineRule="auto"/>
              <w:rPr>
                <w:color w:val="FF0000"/>
              </w:rPr>
            </w:pPr>
            <w:r w:rsidRPr="00061164">
              <w:rPr>
                <w:color w:val="FF0000"/>
              </w:rPr>
              <w:t>7,5</w:t>
            </w:r>
          </w:p>
        </w:tc>
        <w:tc>
          <w:tcPr>
            <w:tcW w:w="1154" w:type="dxa"/>
            <w:gridSpan w:val="2"/>
            <w:shd w:val="clear" w:color="auto" w:fill="auto"/>
            <w:vAlign w:val="center"/>
          </w:tcPr>
          <w:p w:rsidR="00061164" w:rsidRPr="00061164" w:rsidRDefault="00061164" w:rsidP="00EE3263">
            <w:pPr>
              <w:pStyle w:val="HESZtablazat2"/>
              <w:spacing w:before="40" w:after="40" w:line="228" w:lineRule="auto"/>
              <w:rPr>
                <w:color w:val="FF0000"/>
              </w:rPr>
            </w:pPr>
            <w:r w:rsidRPr="00061164">
              <w:rPr>
                <w:color w:val="FF0000"/>
              </w:rPr>
              <w:t>15</w:t>
            </w:r>
          </w:p>
        </w:tc>
        <w:tc>
          <w:tcPr>
            <w:tcW w:w="1155" w:type="dxa"/>
            <w:shd w:val="clear" w:color="auto" w:fill="auto"/>
          </w:tcPr>
          <w:p w:rsidR="00061164" w:rsidRPr="00061164" w:rsidRDefault="00061164" w:rsidP="00EE3263">
            <w:pPr>
              <w:jc w:val="center"/>
              <w:rPr>
                <w:rFonts w:ascii="Times New Roman" w:hAnsi="Times New Roman"/>
                <w:color w:val="FF0000"/>
                <w:sz w:val="24"/>
                <w:szCs w:val="24"/>
              </w:rPr>
            </w:pPr>
          </w:p>
        </w:tc>
      </w:tr>
    </w:tbl>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Pr="00061164" w:rsidRDefault="00061164" w:rsidP="00061164">
      <w:pPr>
        <w:pStyle w:val="Listaszerbekezds"/>
        <w:widowControl w:val="0"/>
        <w:numPr>
          <w:ilvl w:val="0"/>
          <w:numId w:val="1"/>
        </w:numPr>
        <w:autoSpaceDE w:val="0"/>
        <w:autoSpaceDN w:val="0"/>
        <w:adjustRightInd w:val="0"/>
        <w:ind w:left="567" w:hanging="567"/>
        <w:contextualSpacing w:val="0"/>
        <w:rPr>
          <w:rFonts w:ascii="Times New Roman" w:hAnsi="Times New Roman"/>
          <w:bCs/>
          <w:sz w:val="24"/>
          <w:szCs w:val="24"/>
        </w:rPr>
      </w:pPr>
      <w:r w:rsidRPr="00061164">
        <w:rPr>
          <w:rFonts w:ascii="Times New Roman" w:hAnsi="Times New Roman"/>
          <w:bCs/>
          <w:sz w:val="24"/>
          <w:szCs w:val="24"/>
        </w:rPr>
        <w:t xml:space="preserve">A Rendelet </w:t>
      </w:r>
      <w:r w:rsidRPr="00061164">
        <w:rPr>
          <w:rFonts w:ascii="Times New Roman" w:hAnsi="Times New Roman"/>
          <w:sz w:val="24"/>
          <w:szCs w:val="24"/>
        </w:rPr>
        <w:t>38.§-a az alábbi (18) bekezdéssel egészül</w:t>
      </w:r>
      <w:r w:rsidRPr="00061164">
        <w:rPr>
          <w:rFonts w:ascii="Times New Roman" w:hAnsi="Times New Roman"/>
          <w:bCs/>
          <w:sz w:val="24"/>
          <w:szCs w:val="24"/>
        </w:rPr>
        <w:t>:</w:t>
      </w:r>
    </w:p>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Pr="00061164" w:rsidRDefault="00061164" w:rsidP="00061164">
      <w:pPr>
        <w:numPr>
          <w:ilvl w:val="0"/>
          <w:numId w:val="2"/>
        </w:numPr>
        <w:tabs>
          <w:tab w:val="clear" w:pos="360"/>
        </w:tabs>
        <w:spacing w:line="240" w:lineRule="auto"/>
        <w:ind w:left="567" w:hanging="567"/>
        <w:rPr>
          <w:rFonts w:ascii="Times New Roman" w:hAnsi="Times New Roman"/>
          <w:color w:val="FF0000"/>
          <w:sz w:val="24"/>
          <w:szCs w:val="24"/>
        </w:rPr>
      </w:pPr>
      <w:r w:rsidRPr="00061164">
        <w:rPr>
          <w:rFonts w:ascii="Times New Roman" w:hAnsi="Times New Roman"/>
          <w:color w:val="FF0000"/>
          <w:sz w:val="24"/>
          <w:szCs w:val="24"/>
        </w:rPr>
        <w:t xml:space="preserve">A </w:t>
      </w:r>
      <w:proofErr w:type="spellStart"/>
      <w:r w:rsidRPr="00061164">
        <w:rPr>
          <w:rFonts w:ascii="Times New Roman" w:hAnsi="Times New Roman"/>
          <w:b/>
          <w:color w:val="FF0000"/>
          <w:sz w:val="24"/>
          <w:szCs w:val="24"/>
        </w:rPr>
        <w:t>Vt</w:t>
      </w:r>
      <w:proofErr w:type="spellEnd"/>
      <w:r w:rsidRPr="00061164">
        <w:rPr>
          <w:rFonts w:ascii="Times New Roman" w:hAnsi="Times New Roman"/>
          <w:b/>
          <w:color w:val="FF0000"/>
          <w:sz w:val="24"/>
          <w:szCs w:val="24"/>
        </w:rPr>
        <w:t>-</w:t>
      </w:r>
      <w:proofErr w:type="spellStart"/>
      <w:r w:rsidRPr="00061164">
        <w:rPr>
          <w:rFonts w:ascii="Times New Roman" w:hAnsi="Times New Roman"/>
          <w:b/>
          <w:color w:val="FF0000"/>
          <w:sz w:val="24"/>
          <w:szCs w:val="24"/>
        </w:rPr>
        <w:t>Kt</w:t>
      </w:r>
      <w:proofErr w:type="spellEnd"/>
      <w:r w:rsidRPr="00061164">
        <w:rPr>
          <w:rFonts w:ascii="Times New Roman" w:hAnsi="Times New Roman"/>
          <w:b/>
          <w:color w:val="FF0000"/>
          <w:sz w:val="24"/>
          <w:szCs w:val="24"/>
        </w:rPr>
        <w:t>-S</w:t>
      </w:r>
      <w:r w:rsidRPr="00061164">
        <w:rPr>
          <w:rFonts w:ascii="Times New Roman" w:hAnsi="Times New Roman"/>
          <w:color w:val="FF0000"/>
          <w:sz w:val="24"/>
          <w:szCs w:val="24"/>
        </w:rPr>
        <w:t xml:space="preserve"> jelű építési övezetben</w:t>
      </w:r>
    </w:p>
    <w:p w:rsidR="00061164" w:rsidRPr="00061164" w:rsidRDefault="00061164" w:rsidP="00061164">
      <w:pPr>
        <w:numPr>
          <w:ilvl w:val="0"/>
          <w:numId w:val="3"/>
        </w:numPr>
        <w:tabs>
          <w:tab w:val="clear" w:pos="1211"/>
        </w:tabs>
        <w:spacing w:line="240" w:lineRule="auto"/>
        <w:ind w:left="1134" w:hanging="567"/>
        <w:rPr>
          <w:rFonts w:ascii="Times New Roman" w:hAnsi="Times New Roman"/>
          <w:color w:val="FF0000"/>
          <w:sz w:val="24"/>
          <w:szCs w:val="24"/>
        </w:rPr>
      </w:pPr>
      <w:r w:rsidRPr="00061164">
        <w:rPr>
          <w:rFonts w:ascii="Times New Roman" w:hAnsi="Times New Roman"/>
          <w:color w:val="FF0000"/>
          <w:sz w:val="24"/>
          <w:szCs w:val="24"/>
        </w:rPr>
        <w:t>kizárólag alapintézmények épületei és azok fő rendeltetését funkcionálisan kiegészítő kulturális, szállás jellegű és sport rendeltetésű épületek helyezhetők el;</w:t>
      </w:r>
    </w:p>
    <w:p w:rsidR="00061164" w:rsidRPr="00061164" w:rsidRDefault="00061164" w:rsidP="00061164">
      <w:pPr>
        <w:numPr>
          <w:ilvl w:val="0"/>
          <w:numId w:val="3"/>
        </w:numPr>
        <w:spacing w:line="240" w:lineRule="auto"/>
        <w:ind w:left="1134" w:hanging="567"/>
        <w:rPr>
          <w:rFonts w:ascii="Times New Roman" w:hAnsi="Times New Roman"/>
          <w:color w:val="FF0000"/>
          <w:sz w:val="24"/>
          <w:szCs w:val="24"/>
        </w:rPr>
      </w:pPr>
      <w:r w:rsidRPr="00061164">
        <w:rPr>
          <w:rFonts w:ascii="Times New Roman" w:hAnsi="Times New Roman"/>
          <w:color w:val="FF0000"/>
          <w:sz w:val="24"/>
          <w:szCs w:val="24"/>
        </w:rPr>
        <w:t>a kialakult telkek tovább nem oszthatók;</w:t>
      </w:r>
    </w:p>
    <w:p w:rsidR="00061164" w:rsidRPr="00061164" w:rsidRDefault="00061164" w:rsidP="00061164">
      <w:pPr>
        <w:numPr>
          <w:ilvl w:val="0"/>
          <w:numId w:val="3"/>
        </w:numPr>
        <w:spacing w:line="240" w:lineRule="auto"/>
        <w:ind w:left="1134" w:hanging="567"/>
        <w:rPr>
          <w:rFonts w:ascii="Times New Roman" w:hAnsi="Times New Roman"/>
          <w:color w:val="FF0000"/>
          <w:sz w:val="24"/>
          <w:szCs w:val="24"/>
        </w:rPr>
      </w:pPr>
      <w:r w:rsidRPr="00061164">
        <w:rPr>
          <w:rFonts w:ascii="Times New Roman" w:hAnsi="Times New Roman"/>
          <w:color w:val="FF0000"/>
          <w:sz w:val="24"/>
          <w:szCs w:val="24"/>
        </w:rPr>
        <w:t xml:space="preserve">kerítés a közterületek felől a telekhatáron nem, csak az épület közterület felőli homlokzatának vonalában vagy attól </w:t>
      </w:r>
      <w:proofErr w:type="spellStart"/>
      <w:r w:rsidRPr="00061164">
        <w:rPr>
          <w:rFonts w:ascii="Times New Roman" w:hAnsi="Times New Roman"/>
          <w:color w:val="FF0000"/>
          <w:sz w:val="24"/>
          <w:szCs w:val="24"/>
        </w:rPr>
        <w:t>hátrahúzva</w:t>
      </w:r>
      <w:proofErr w:type="spellEnd"/>
      <w:r w:rsidRPr="00061164">
        <w:rPr>
          <w:rFonts w:ascii="Times New Roman" w:hAnsi="Times New Roman"/>
          <w:color w:val="FF0000"/>
          <w:sz w:val="24"/>
          <w:szCs w:val="24"/>
        </w:rPr>
        <w:t xml:space="preserve"> létesíthető;</w:t>
      </w:r>
    </w:p>
    <w:p w:rsidR="00061164" w:rsidRPr="00061164" w:rsidRDefault="00061164" w:rsidP="00061164">
      <w:pPr>
        <w:numPr>
          <w:ilvl w:val="0"/>
          <w:numId w:val="3"/>
        </w:numPr>
        <w:spacing w:line="240" w:lineRule="auto"/>
        <w:ind w:left="1134" w:hanging="567"/>
        <w:rPr>
          <w:rFonts w:ascii="Times New Roman" w:hAnsi="Times New Roman"/>
          <w:color w:val="FF0000"/>
          <w:sz w:val="24"/>
          <w:szCs w:val="24"/>
        </w:rPr>
      </w:pPr>
      <w:r w:rsidRPr="00061164">
        <w:rPr>
          <w:rFonts w:ascii="Times New Roman" w:hAnsi="Times New Roman"/>
          <w:color w:val="FF0000"/>
          <w:sz w:val="24"/>
          <w:szCs w:val="24"/>
        </w:rPr>
        <w:t>elegendő a vonatkozó előírások szerinti személygépkocsi elhelyezési kötelezettség 50 %-át biztosítani és a parkolás a telekhatártól mért 200 méteren belül más önkormányzati telken, valamint közterületen is biztosítható. Utóbbi esetben – a külön idejű használatra tekintettel – a szabályozási terven szereplő P+R parkolók is figyelembe vehetők.</w:t>
      </w:r>
    </w:p>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Pr="00061164" w:rsidRDefault="00061164" w:rsidP="00061164">
      <w:pPr>
        <w:jc w:val="center"/>
        <w:rPr>
          <w:rFonts w:ascii="Times New Roman" w:hAnsi="Times New Roman"/>
          <w:b/>
          <w:sz w:val="24"/>
          <w:szCs w:val="24"/>
        </w:rPr>
      </w:pPr>
      <w:r w:rsidRPr="00061164">
        <w:rPr>
          <w:rFonts w:ascii="Times New Roman" w:hAnsi="Times New Roman"/>
          <w:b/>
          <w:sz w:val="24"/>
          <w:szCs w:val="24"/>
        </w:rPr>
        <w:t>2. §</w:t>
      </w:r>
    </w:p>
    <w:p w:rsidR="00061164" w:rsidRPr="00061164" w:rsidRDefault="00061164" w:rsidP="00061164">
      <w:pPr>
        <w:jc w:val="center"/>
        <w:rPr>
          <w:rFonts w:ascii="Times New Roman" w:hAnsi="Times New Roman"/>
          <w:b/>
          <w:sz w:val="24"/>
          <w:szCs w:val="24"/>
        </w:rPr>
      </w:pPr>
    </w:p>
    <w:p w:rsidR="00061164" w:rsidRPr="00061164" w:rsidRDefault="00061164" w:rsidP="00061164">
      <w:pPr>
        <w:rPr>
          <w:rFonts w:ascii="Times New Roman" w:hAnsi="Times New Roman"/>
          <w:sz w:val="24"/>
          <w:szCs w:val="24"/>
        </w:rPr>
      </w:pPr>
      <w:r w:rsidRPr="00061164">
        <w:rPr>
          <w:rFonts w:ascii="Times New Roman" w:hAnsi="Times New Roman"/>
          <w:sz w:val="24"/>
          <w:szCs w:val="24"/>
        </w:rPr>
        <w:t>A Rendelet 1. melléklete e rendelet 1. melléklete szerint módosul.</w:t>
      </w:r>
    </w:p>
    <w:p w:rsidR="00061164" w:rsidRPr="00061164" w:rsidRDefault="00061164" w:rsidP="00061164">
      <w:pPr>
        <w:rPr>
          <w:rFonts w:ascii="Times New Roman" w:hAnsi="Times New Roman"/>
          <w:sz w:val="24"/>
          <w:szCs w:val="24"/>
        </w:rPr>
      </w:pPr>
    </w:p>
    <w:p w:rsidR="00061164" w:rsidRPr="00061164" w:rsidRDefault="00061164" w:rsidP="00061164">
      <w:pPr>
        <w:jc w:val="center"/>
        <w:rPr>
          <w:rFonts w:ascii="Times New Roman" w:hAnsi="Times New Roman"/>
          <w:b/>
          <w:sz w:val="24"/>
          <w:szCs w:val="24"/>
        </w:rPr>
      </w:pPr>
      <w:r w:rsidRPr="00061164">
        <w:rPr>
          <w:rFonts w:ascii="Times New Roman" w:hAnsi="Times New Roman"/>
          <w:b/>
          <w:sz w:val="24"/>
          <w:szCs w:val="24"/>
        </w:rPr>
        <w:t>3. §</w:t>
      </w:r>
    </w:p>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Pr="00061164" w:rsidRDefault="00061164" w:rsidP="00061164">
      <w:pPr>
        <w:contextualSpacing/>
        <w:rPr>
          <w:rFonts w:ascii="Times New Roman" w:hAnsi="Times New Roman"/>
          <w:sz w:val="24"/>
          <w:szCs w:val="24"/>
        </w:rPr>
      </w:pPr>
      <w:r w:rsidRPr="00061164">
        <w:rPr>
          <w:rFonts w:ascii="Times New Roman" w:hAnsi="Times New Roman"/>
          <w:sz w:val="24"/>
          <w:szCs w:val="24"/>
        </w:rPr>
        <w:t>Ez a rendelet a kihirdetését követő napon lép hatályba.</w:t>
      </w:r>
    </w:p>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Pr="00061164" w:rsidRDefault="00061164" w:rsidP="00061164">
      <w:pPr>
        <w:widowControl w:val="0"/>
        <w:autoSpaceDE w:val="0"/>
        <w:autoSpaceDN w:val="0"/>
        <w:adjustRightInd w:val="0"/>
        <w:rPr>
          <w:rFonts w:ascii="Times New Roman" w:hAnsi="Times New Roman"/>
          <w:bCs/>
          <w:sz w:val="24"/>
          <w:szCs w:val="24"/>
        </w:rPr>
      </w:pP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1164" w:rsidRPr="00061164" w:rsidTr="00EE3263">
        <w:tc>
          <w:tcPr>
            <w:tcW w:w="4531" w:type="dxa"/>
          </w:tcPr>
          <w:p w:rsidR="00061164" w:rsidRPr="00061164" w:rsidRDefault="00061164" w:rsidP="00EE3263">
            <w:pPr>
              <w:tabs>
                <w:tab w:val="right" w:pos="9072"/>
              </w:tabs>
              <w:jc w:val="center"/>
              <w:rPr>
                <w:rFonts w:ascii="Times New Roman" w:eastAsia="Calibri" w:hAnsi="Times New Roman"/>
                <w:bCs/>
                <w:szCs w:val="24"/>
              </w:rPr>
            </w:pPr>
            <w:r w:rsidRPr="00061164">
              <w:rPr>
                <w:rFonts w:ascii="Times New Roman" w:eastAsia="Calibri" w:hAnsi="Times New Roman"/>
                <w:bCs/>
                <w:szCs w:val="24"/>
              </w:rPr>
              <w:t>Deltai Károly</w:t>
            </w:r>
          </w:p>
          <w:p w:rsidR="00061164" w:rsidRPr="00061164" w:rsidRDefault="00061164" w:rsidP="00EE3263">
            <w:pPr>
              <w:tabs>
                <w:tab w:val="right" w:pos="9072"/>
              </w:tabs>
              <w:jc w:val="center"/>
              <w:rPr>
                <w:rFonts w:ascii="Times New Roman" w:eastAsia="Calibri" w:hAnsi="Times New Roman"/>
                <w:bCs/>
                <w:szCs w:val="24"/>
              </w:rPr>
            </w:pPr>
            <w:r w:rsidRPr="00061164">
              <w:rPr>
                <w:rFonts w:ascii="Times New Roman" w:eastAsia="Calibri" w:hAnsi="Times New Roman"/>
                <w:bCs/>
                <w:szCs w:val="24"/>
              </w:rPr>
              <w:t>polgármester</w:t>
            </w:r>
          </w:p>
        </w:tc>
        <w:tc>
          <w:tcPr>
            <w:tcW w:w="4531" w:type="dxa"/>
          </w:tcPr>
          <w:p w:rsidR="00061164" w:rsidRPr="00061164" w:rsidRDefault="00061164" w:rsidP="00EE3263">
            <w:pPr>
              <w:tabs>
                <w:tab w:val="right" w:pos="9072"/>
              </w:tabs>
              <w:jc w:val="center"/>
              <w:rPr>
                <w:rFonts w:ascii="Times New Roman" w:eastAsia="Calibri" w:hAnsi="Times New Roman"/>
                <w:bCs/>
                <w:szCs w:val="24"/>
              </w:rPr>
            </w:pPr>
            <w:r w:rsidRPr="00061164">
              <w:rPr>
                <w:rFonts w:ascii="Times New Roman" w:eastAsia="Calibri" w:hAnsi="Times New Roman"/>
                <w:bCs/>
                <w:szCs w:val="24"/>
              </w:rPr>
              <w:t>dr. Lack Mónika</w:t>
            </w:r>
          </w:p>
          <w:p w:rsidR="00061164" w:rsidRPr="00061164" w:rsidRDefault="00061164" w:rsidP="00EE3263">
            <w:pPr>
              <w:tabs>
                <w:tab w:val="right" w:pos="9072"/>
              </w:tabs>
              <w:jc w:val="center"/>
              <w:rPr>
                <w:rFonts w:ascii="Times New Roman" w:eastAsia="Calibri" w:hAnsi="Times New Roman"/>
                <w:bCs/>
                <w:szCs w:val="24"/>
              </w:rPr>
            </w:pPr>
            <w:r w:rsidRPr="00061164">
              <w:rPr>
                <w:rFonts w:ascii="Times New Roman" w:eastAsia="Calibri" w:hAnsi="Times New Roman"/>
                <w:bCs/>
                <w:szCs w:val="24"/>
              </w:rPr>
              <w:t>jegyző</w:t>
            </w:r>
          </w:p>
        </w:tc>
      </w:tr>
    </w:tbl>
    <w:p w:rsidR="00061164" w:rsidRPr="00061164" w:rsidRDefault="00061164" w:rsidP="00061164">
      <w:pPr>
        <w:widowControl w:val="0"/>
        <w:autoSpaceDE w:val="0"/>
        <w:autoSpaceDN w:val="0"/>
        <w:adjustRightInd w:val="0"/>
        <w:rPr>
          <w:rFonts w:ascii="Times New Roman" w:hAnsi="Times New Roman"/>
          <w:bCs/>
          <w:sz w:val="24"/>
          <w:szCs w:val="24"/>
        </w:rPr>
      </w:pPr>
    </w:p>
    <w:p w:rsidR="00061164" w:rsidRDefault="00061164" w:rsidP="00061164">
      <w:pPr>
        <w:spacing w:after="160" w:line="259" w:lineRule="auto"/>
        <w:jc w:val="left"/>
        <w:rPr>
          <w:rFonts w:ascii="Times New Roman" w:hAnsi="Times New Roman"/>
          <w:bCs/>
          <w:sz w:val="24"/>
          <w:szCs w:val="24"/>
        </w:rPr>
      </w:pPr>
    </w:p>
    <w:p w:rsidR="00061164" w:rsidRPr="00061164" w:rsidRDefault="00061164" w:rsidP="00061164">
      <w:pPr>
        <w:pStyle w:val="Cmsor1"/>
        <w:numPr>
          <w:ilvl w:val="0"/>
          <w:numId w:val="0"/>
        </w:numPr>
        <w:ind w:left="855" w:hanging="855"/>
        <w:jc w:val="left"/>
        <w:rPr>
          <w:rFonts w:ascii="Times New Roman" w:hAnsi="Times New Roman" w:cs="Times New Roman"/>
          <w:sz w:val="24"/>
          <w:szCs w:val="24"/>
        </w:rPr>
      </w:pPr>
      <w:bookmarkStart w:id="1" w:name="_Toc528745774"/>
      <w:r>
        <w:rPr>
          <w:rFonts w:ascii="Times New Roman" w:hAnsi="Times New Roman" w:cs="Times New Roman"/>
          <w:sz w:val="24"/>
          <w:szCs w:val="24"/>
        </w:rPr>
        <w:t xml:space="preserve">1.sz. </w:t>
      </w:r>
      <w:r w:rsidRPr="00061164">
        <w:rPr>
          <w:rFonts w:ascii="Times New Roman" w:hAnsi="Times New Roman" w:cs="Times New Roman"/>
          <w:sz w:val="24"/>
          <w:szCs w:val="24"/>
        </w:rPr>
        <w:t>MELLÉKLET</w:t>
      </w:r>
      <w:bookmarkEnd w:id="1"/>
    </w:p>
    <w:p w:rsidR="00061164" w:rsidRDefault="00061164" w:rsidP="00061164">
      <w:r>
        <w:t>A MODULÁRT Kft. által készített Telki új Sportcsarnok 2018. szeptemberi építési engedélyezési tervének tervlapjai</w:t>
      </w:r>
    </w:p>
    <w:p w:rsidR="00061164" w:rsidRDefault="00061164" w:rsidP="00061164"/>
    <w:p w:rsidR="00061164" w:rsidRPr="00423295" w:rsidRDefault="00061164" w:rsidP="00061164"/>
    <w:p w:rsidR="00061164" w:rsidRPr="00061164" w:rsidRDefault="00061164" w:rsidP="00061164">
      <w:pPr>
        <w:spacing w:after="160" w:line="259" w:lineRule="auto"/>
        <w:jc w:val="left"/>
        <w:rPr>
          <w:rFonts w:ascii="Times New Roman" w:hAnsi="Times New Roman"/>
          <w:bCs/>
          <w:sz w:val="24"/>
          <w:szCs w:val="24"/>
        </w:rPr>
      </w:pPr>
      <w:r w:rsidRPr="00061164">
        <w:rPr>
          <w:rFonts w:ascii="Times New Roman" w:hAnsi="Times New Roman"/>
          <w:bCs/>
          <w:sz w:val="24"/>
          <w:szCs w:val="24"/>
        </w:rPr>
        <w:br w:type="page"/>
      </w:r>
    </w:p>
    <w:p w:rsidR="0089068E" w:rsidRDefault="0089068E"/>
    <w:sectPr w:rsidR="0089068E" w:rsidSect="00C062B6">
      <w:pgSz w:w="11905" w:h="16837" w:code="9"/>
      <w:pgMar w:top="907" w:right="1134" w:bottom="567"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261B2"/>
    <w:multiLevelType w:val="hybridMultilevel"/>
    <w:tmpl w:val="217CE4C0"/>
    <w:lvl w:ilvl="0" w:tplc="2ECA69BC">
      <w:start w:val="1"/>
      <w:numFmt w:val="decimal"/>
      <w:lvlText w:val="(%1)"/>
      <w:lvlJc w:val="left"/>
      <w:pPr>
        <w:ind w:left="720" w:hanging="360"/>
      </w:pPr>
      <w:rPr>
        <w:rFonts w:ascii="Cambria" w:hAnsi="Cambria" w:hint="default"/>
        <w:b w:val="0"/>
        <w:i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F5B6014"/>
    <w:multiLevelType w:val="multilevel"/>
    <w:tmpl w:val="459CDF72"/>
    <w:lvl w:ilvl="0">
      <w:start w:val="1"/>
      <w:numFmt w:val="decimal"/>
      <w:pStyle w:val="Cmsor1"/>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2FC1DE4"/>
    <w:multiLevelType w:val="multilevel"/>
    <w:tmpl w:val="16BA2DAE"/>
    <w:lvl w:ilvl="0">
      <w:start w:val="1"/>
      <w:numFmt w:val="lowerLetter"/>
      <w:lvlText w:val="%1)"/>
      <w:lvlJc w:val="left"/>
      <w:pPr>
        <w:tabs>
          <w:tab w:val="num" w:pos="1211"/>
        </w:tabs>
        <w:ind w:left="1192" w:hanging="341"/>
      </w:pPr>
      <w:rPr>
        <w:rFonts w:ascii="Cambria" w:hAnsi="Cambria" w:hint="default"/>
        <w:sz w:val="22"/>
      </w:rPr>
    </w:lvl>
    <w:lvl w:ilvl="1">
      <w:start w:val="1"/>
      <w:numFmt w:val="lowerLetter"/>
      <w:lvlText w:val="%2)"/>
      <w:lvlJc w:val="left"/>
      <w:pPr>
        <w:tabs>
          <w:tab w:val="num" w:pos="1553"/>
        </w:tabs>
        <w:ind w:left="1553" w:hanging="360"/>
      </w:pPr>
      <w:rPr>
        <w:rFonts w:hint="default"/>
      </w:rPr>
    </w:lvl>
    <w:lvl w:ilvl="2">
      <w:start w:val="1"/>
      <w:numFmt w:val="lowerRoman"/>
      <w:lvlText w:val="%3."/>
      <w:lvlJc w:val="right"/>
      <w:pPr>
        <w:tabs>
          <w:tab w:val="num" w:pos="2273"/>
        </w:tabs>
        <w:ind w:left="2273" w:hanging="180"/>
      </w:pPr>
      <w:rPr>
        <w:rFonts w:hint="default"/>
      </w:rPr>
    </w:lvl>
    <w:lvl w:ilvl="3">
      <w:start w:val="1"/>
      <w:numFmt w:val="decimal"/>
      <w:lvlText w:val="%4."/>
      <w:lvlJc w:val="left"/>
      <w:pPr>
        <w:tabs>
          <w:tab w:val="num" w:pos="2993"/>
        </w:tabs>
        <w:ind w:left="2993" w:hanging="360"/>
      </w:pPr>
      <w:rPr>
        <w:rFonts w:hint="default"/>
      </w:rPr>
    </w:lvl>
    <w:lvl w:ilvl="4">
      <w:start w:val="1"/>
      <w:numFmt w:val="lowerLetter"/>
      <w:lvlText w:val="%5."/>
      <w:lvlJc w:val="left"/>
      <w:pPr>
        <w:tabs>
          <w:tab w:val="num" w:pos="3713"/>
        </w:tabs>
        <w:ind w:left="3713" w:hanging="360"/>
      </w:pPr>
      <w:rPr>
        <w:rFonts w:hint="default"/>
      </w:rPr>
    </w:lvl>
    <w:lvl w:ilvl="5">
      <w:start w:val="1"/>
      <w:numFmt w:val="lowerRoman"/>
      <w:lvlText w:val="%6."/>
      <w:lvlJc w:val="right"/>
      <w:pPr>
        <w:tabs>
          <w:tab w:val="num" w:pos="4433"/>
        </w:tabs>
        <w:ind w:left="4433" w:hanging="180"/>
      </w:pPr>
      <w:rPr>
        <w:rFonts w:hint="default"/>
      </w:rPr>
    </w:lvl>
    <w:lvl w:ilvl="6">
      <w:start w:val="1"/>
      <w:numFmt w:val="decimal"/>
      <w:lvlText w:val="%7."/>
      <w:lvlJc w:val="left"/>
      <w:pPr>
        <w:tabs>
          <w:tab w:val="num" w:pos="5153"/>
        </w:tabs>
        <w:ind w:left="5153" w:hanging="360"/>
      </w:pPr>
      <w:rPr>
        <w:rFonts w:hint="default"/>
      </w:rPr>
    </w:lvl>
    <w:lvl w:ilvl="7">
      <w:start w:val="1"/>
      <w:numFmt w:val="lowerLetter"/>
      <w:lvlText w:val="%8."/>
      <w:lvlJc w:val="left"/>
      <w:pPr>
        <w:tabs>
          <w:tab w:val="num" w:pos="5873"/>
        </w:tabs>
        <w:ind w:left="5873" w:hanging="360"/>
      </w:pPr>
      <w:rPr>
        <w:rFonts w:hint="default"/>
      </w:rPr>
    </w:lvl>
    <w:lvl w:ilvl="8">
      <w:start w:val="1"/>
      <w:numFmt w:val="lowerRoman"/>
      <w:lvlText w:val="%9."/>
      <w:lvlJc w:val="right"/>
      <w:pPr>
        <w:tabs>
          <w:tab w:val="num" w:pos="6593"/>
        </w:tabs>
        <w:ind w:left="6593" w:hanging="180"/>
      </w:pPr>
      <w:rPr>
        <w:rFonts w:hint="default"/>
      </w:rPr>
    </w:lvl>
  </w:abstractNum>
  <w:abstractNum w:abstractNumId="3" w15:restartNumberingAfterBreak="0">
    <w:nsid w:val="7BCF02DC"/>
    <w:multiLevelType w:val="multilevel"/>
    <w:tmpl w:val="C5862528"/>
    <w:lvl w:ilvl="0">
      <w:start w:val="18"/>
      <w:numFmt w:val="decimal"/>
      <w:lvlText w:val="(%1)"/>
      <w:lvlJc w:val="left"/>
      <w:pPr>
        <w:tabs>
          <w:tab w:val="num" w:pos="360"/>
        </w:tabs>
        <w:ind w:left="341" w:hanging="341"/>
      </w:pPr>
      <w:rPr>
        <w:rFonts w:hint="default"/>
      </w:rPr>
    </w:lvl>
    <w:lvl w:ilvl="1">
      <w:start w:val="1"/>
      <w:numFmt w:val="lowerLetter"/>
      <w:lvlText w:val="%2)"/>
      <w:lvlJc w:val="left"/>
      <w:pPr>
        <w:tabs>
          <w:tab w:val="num" w:pos="1553"/>
        </w:tabs>
        <w:ind w:left="1553" w:hanging="360"/>
      </w:pPr>
      <w:rPr>
        <w:rFonts w:hint="default"/>
      </w:rPr>
    </w:lvl>
    <w:lvl w:ilvl="2">
      <w:start w:val="1"/>
      <w:numFmt w:val="lowerRoman"/>
      <w:lvlText w:val="%3."/>
      <w:lvlJc w:val="right"/>
      <w:pPr>
        <w:tabs>
          <w:tab w:val="num" w:pos="2273"/>
        </w:tabs>
        <w:ind w:left="2273" w:hanging="180"/>
      </w:pPr>
      <w:rPr>
        <w:rFonts w:hint="default"/>
      </w:rPr>
    </w:lvl>
    <w:lvl w:ilvl="3">
      <w:start w:val="1"/>
      <w:numFmt w:val="decimal"/>
      <w:lvlText w:val="%4."/>
      <w:lvlJc w:val="left"/>
      <w:pPr>
        <w:tabs>
          <w:tab w:val="num" w:pos="2993"/>
        </w:tabs>
        <w:ind w:left="2993" w:hanging="360"/>
      </w:pPr>
      <w:rPr>
        <w:rFonts w:hint="default"/>
      </w:rPr>
    </w:lvl>
    <w:lvl w:ilvl="4">
      <w:start w:val="1"/>
      <w:numFmt w:val="lowerLetter"/>
      <w:lvlText w:val="%5."/>
      <w:lvlJc w:val="left"/>
      <w:pPr>
        <w:tabs>
          <w:tab w:val="num" w:pos="3713"/>
        </w:tabs>
        <w:ind w:left="3713" w:hanging="360"/>
      </w:pPr>
      <w:rPr>
        <w:rFonts w:hint="default"/>
      </w:rPr>
    </w:lvl>
    <w:lvl w:ilvl="5">
      <w:start w:val="1"/>
      <w:numFmt w:val="lowerRoman"/>
      <w:lvlText w:val="%6."/>
      <w:lvlJc w:val="right"/>
      <w:pPr>
        <w:tabs>
          <w:tab w:val="num" w:pos="4433"/>
        </w:tabs>
        <w:ind w:left="4433" w:hanging="180"/>
      </w:pPr>
      <w:rPr>
        <w:rFonts w:hint="default"/>
      </w:rPr>
    </w:lvl>
    <w:lvl w:ilvl="6">
      <w:start w:val="1"/>
      <w:numFmt w:val="decimal"/>
      <w:lvlText w:val="%7."/>
      <w:lvlJc w:val="left"/>
      <w:pPr>
        <w:tabs>
          <w:tab w:val="num" w:pos="5153"/>
        </w:tabs>
        <w:ind w:left="5153" w:hanging="360"/>
      </w:pPr>
      <w:rPr>
        <w:rFonts w:hint="default"/>
      </w:rPr>
    </w:lvl>
    <w:lvl w:ilvl="7">
      <w:start w:val="1"/>
      <w:numFmt w:val="lowerLetter"/>
      <w:lvlText w:val="%8."/>
      <w:lvlJc w:val="left"/>
      <w:pPr>
        <w:tabs>
          <w:tab w:val="num" w:pos="5873"/>
        </w:tabs>
        <w:ind w:left="5873" w:hanging="360"/>
      </w:pPr>
      <w:rPr>
        <w:rFonts w:hint="default"/>
      </w:rPr>
    </w:lvl>
    <w:lvl w:ilvl="8">
      <w:start w:val="1"/>
      <w:numFmt w:val="lowerRoman"/>
      <w:lvlText w:val="%9."/>
      <w:lvlJc w:val="right"/>
      <w:pPr>
        <w:tabs>
          <w:tab w:val="num" w:pos="6593"/>
        </w:tabs>
        <w:ind w:left="6593"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64"/>
    <w:rsid w:val="00061164"/>
    <w:rsid w:val="004F2C93"/>
    <w:rsid w:val="006E2D5D"/>
    <w:rsid w:val="0089068E"/>
    <w:rsid w:val="00C062B6"/>
    <w:rsid w:val="00C917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B67C1-B32B-4285-B848-1B2C6682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1164"/>
    <w:pPr>
      <w:spacing w:after="0" w:line="276" w:lineRule="auto"/>
      <w:jc w:val="both"/>
    </w:pPr>
    <w:rPr>
      <w:rFonts w:ascii="Cambria" w:eastAsia="Times New Roman" w:hAnsi="Cambria" w:cs="Times New Roman"/>
      <w:szCs w:val="20"/>
      <w:lang w:eastAsia="hu-HU"/>
    </w:rPr>
  </w:style>
  <w:style w:type="paragraph" w:styleId="Cmsor1">
    <w:name w:val="heading 1"/>
    <w:basedOn w:val="Norml"/>
    <w:next w:val="Norml"/>
    <w:link w:val="Cmsor1Char"/>
    <w:uiPriority w:val="9"/>
    <w:qFormat/>
    <w:rsid w:val="00061164"/>
    <w:pPr>
      <w:numPr>
        <w:numId w:val="4"/>
      </w:numPr>
      <w:spacing w:before="120" w:after="120"/>
      <w:outlineLvl w:val="0"/>
    </w:pPr>
    <w:rPr>
      <w:rFonts w:eastAsiaTheme="majorEastAsia" w:cstheme="majorBid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SZtablazat2">
    <w:name w:val="HESZ_tablazat2"/>
    <w:basedOn w:val="Norml"/>
    <w:rsid w:val="00061164"/>
    <w:pPr>
      <w:spacing w:before="60" w:after="60" w:line="240" w:lineRule="auto"/>
      <w:jc w:val="center"/>
    </w:pPr>
    <w:rPr>
      <w:rFonts w:ascii="Times New Roman" w:hAnsi="Times New Roman"/>
      <w:bCs/>
      <w:sz w:val="24"/>
      <w:szCs w:val="24"/>
    </w:rPr>
  </w:style>
  <w:style w:type="paragraph" w:customStyle="1" w:styleId="HESZtablazat1">
    <w:name w:val="HESZ_tablazat1"/>
    <w:basedOn w:val="Norml"/>
    <w:rsid w:val="00061164"/>
    <w:pPr>
      <w:spacing w:before="60" w:after="60" w:line="240" w:lineRule="auto"/>
      <w:jc w:val="left"/>
    </w:pPr>
    <w:rPr>
      <w:rFonts w:ascii="Times New Roman" w:hAnsi="Times New Roman"/>
      <w:b/>
      <w:bCs/>
      <w:sz w:val="24"/>
      <w:szCs w:val="24"/>
    </w:rPr>
  </w:style>
  <w:style w:type="paragraph" w:styleId="Listaszerbekezds">
    <w:name w:val="List Paragraph"/>
    <w:basedOn w:val="Norml"/>
    <w:link w:val="ListaszerbekezdsChar"/>
    <w:uiPriority w:val="34"/>
    <w:qFormat/>
    <w:rsid w:val="00061164"/>
    <w:pPr>
      <w:ind w:left="720"/>
      <w:contextualSpacing/>
    </w:pPr>
  </w:style>
  <w:style w:type="character" w:customStyle="1" w:styleId="ListaszerbekezdsChar">
    <w:name w:val="Listaszerű bekezdés Char"/>
    <w:basedOn w:val="Bekezdsalapbettpusa"/>
    <w:link w:val="Listaszerbekezds"/>
    <w:uiPriority w:val="34"/>
    <w:rsid w:val="00061164"/>
    <w:rPr>
      <w:rFonts w:ascii="Cambria" w:eastAsia="Times New Roman" w:hAnsi="Cambria" w:cs="Times New Roman"/>
      <w:szCs w:val="20"/>
      <w:lang w:eastAsia="hu-HU"/>
    </w:rPr>
  </w:style>
  <w:style w:type="table" w:customStyle="1" w:styleId="Rcsostblzat2">
    <w:name w:val="Rácsos táblázat2"/>
    <w:basedOn w:val="Normltblzat"/>
    <w:next w:val="Rcsostblzat"/>
    <w:uiPriority w:val="39"/>
    <w:rsid w:val="0006116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06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061164"/>
    <w:rPr>
      <w:rFonts w:ascii="Cambria" w:eastAsiaTheme="majorEastAsia" w:hAnsi="Cambria" w:cstheme="majorBidi"/>
      <w:b/>
      <w:bCs/>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3604</Characters>
  <Application>Microsoft Office Word</Application>
  <DocSecurity>4</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Igazgatás</cp:lastModifiedBy>
  <cp:revision>2</cp:revision>
  <dcterms:created xsi:type="dcterms:W3CDTF">2019-01-16T12:46:00Z</dcterms:created>
  <dcterms:modified xsi:type="dcterms:W3CDTF">2019-01-16T12:46:00Z</dcterms:modified>
</cp:coreProperties>
</file>