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3E" w:rsidRPr="00667CEE" w:rsidRDefault="00406E3E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FELADAT-ELLÁTÁSI SZERZŐDÉS</w:t>
      </w:r>
    </w:p>
    <w:p w:rsidR="00406E3E" w:rsidRPr="00667CEE" w:rsidRDefault="00406E3E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PRAXISJOG ALAPJÁN VÉGZETT TEVÉKENYSÉGRE</w:t>
      </w:r>
    </w:p>
    <w:p w:rsidR="00981ED4" w:rsidRPr="00667CEE" w:rsidRDefault="00981ED4" w:rsidP="002170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</w:pPr>
      <w:r w:rsidRPr="00667CEE"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t>(tervezet)</w:t>
      </w:r>
    </w:p>
    <w:p w:rsidR="00BD5D97" w:rsidRPr="00667CEE" w:rsidRDefault="00BD5D97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06E3E" w:rsidRPr="00667CEE" w:rsidRDefault="00667CEE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I</w:t>
      </w:r>
      <w:r w:rsidR="00406E3E" w:rsidRPr="00667CE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. Felek megnevezése </w:t>
      </w:r>
    </w:p>
    <w:p w:rsidR="00406E3E" w:rsidRPr="00667CEE" w:rsidRDefault="00406E3E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630C" w:rsidRPr="00667CEE" w:rsidRDefault="0002630C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Jelen szerződés létrejött egyrészről</w:t>
      </w: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  <w:r w:rsidRPr="00667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Önkormányzat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( 2089</w:t>
      </w:r>
      <w:proofErr w:type="gramEnd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Telki, Petőfi u.1. képviseletében eljár: Deltai Károly polgármester), a    /2018.(     ) </w:t>
      </w:r>
      <w:proofErr w:type="spellStart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Öh</w:t>
      </w:r>
      <w:proofErr w:type="spellEnd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. határozatában foglalt felhatalmazás alapján, </w:t>
      </w:r>
      <w:r w:rsidR="0002630C" w:rsidRPr="00667CEE">
        <w:rPr>
          <w:rFonts w:ascii="Times New Roman" w:eastAsia="Times New Roman" w:hAnsi="Times New Roman"/>
          <w:sz w:val="24"/>
          <w:szCs w:val="24"/>
          <w:lang w:eastAsia="hu-HU"/>
        </w:rPr>
        <w:t>mint Magyarország helyi önkormányzatairól szóló 2011. évi CLXXXIX. törvény</w:t>
      </w:r>
      <w:r w:rsidR="0002630C" w:rsidRPr="00667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13 § (1)</w:t>
      </w:r>
      <w:r w:rsidR="006F5790" w:rsidRPr="00667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bekezdés 4. pontja, valamint az egészségügyi alapellátásról szóló </w:t>
      </w:r>
      <w:r w:rsidR="0002630C" w:rsidRPr="00667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2015. évi CXXIII. törvény </w:t>
      </w:r>
      <w:r w:rsidR="006F5790" w:rsidRPr="00667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alapján egészségügyi közszolgáltatásért felelős szerv</w:t>
      </w:r>
      <w:r w:rsidR="0002630C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, a továbbiakban: Megbízó, </w:t>
      </w: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630C" w:rsidRPr="00667CEE" w:rsidRDefault="0002630C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másrészről</w:t>
      </w:r>
    </w:p>
    <w:p w:rsidR="0002630C" w:rsidRPr="00667CEE" w:rsidRDefault="0002630C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r w:rsidR="006F5790"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(székhely:…, </w:t>
      </w:r>
      <w:r w:rsidR="006F5790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képviseli:…, egészségügyi szolgáltató azonosítója:</w:t>
      </w:r>
      <w:r w:rsidR="00BD5D97"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……………</w:t>
      </w:r>
      <w:r w:rsidR="006F5790"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mint egészségügyi szolgáltatásra jogosult,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fogorvos</w:t>
      </w:r>
      <w:r w:rsidR="006F5790" w:rsidRPr="00667CEE">
        <w:rPr>
          <w:rFonts w:ascii="Times New Roman" w:eastAsia="Times New Roman" w:hAnsi="Times New Roman"/>
          <w:sz w:val="24"/>
          <w:szCs w:val="24"/>
          <w:lang w:eastAsia="hu-HU"/>
        </w:rPr>
        <w:t>i praxissal rendelkező szolgáltató, a továbbiakban: Megbízott</w:t>
      </w:r>
      <w:r w:rsidR="00BD5D97" w:rsidRPr="00667CE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6F5790" w:rsidRPr="00667CEE">
        <w:rPr>
          <w:rFonts w:ascii="Times New Roman" w:eastAsia="Times New Roman" w:hAnsi="Times New Roman"/>
          <w:sz w:val="24"/>
          <w:szCs w:val="24"/>
          <w:lang w:eastAsia="hu-HU"/>
        </w:rPr>
        <w:t>között alulírt napon és helyen az alábbiak szerint.</w:t>
      </w:r>
    </w:p>
    <w:p w:rsidR="0002630C" w:rsidRDefault="0002630C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630C" w:rsidRPr="00667CEE" w:rsidRDefault="00667CEE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II. </w:t>
      </w:r>
      <w:r w:rsidR="0050336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</w:t>
      </w:r>
      <w:r w:rsidRPr="00667CE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megbízás tárgya, a praxisjoggal érintett körzet meghatározása</w:t>
      </w:r>
    </w:p>
    <w:p w:rsidR="00667CEE" w:rsidRDefault="00667CEE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1F3" w:rsidRP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</w:t>
      </w:r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Önkormányzata a megállapodásban foglalt feltételek fennállása esetén, 201……..- </w:t>
      </w:r>
      <w:proofErr w:type="spellStart"/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>jétől</w:t>
      </w:r>
      <w:proofErr w:type="spellEnd"/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>, határozatlan időtartamra hozzájárul Telki községben létrehozandó fogorvosi vegyes körzet (felnőtt és 0-18 éves korú) lakossága gyógyító és megelőző fogorvosi alapellátásának területi ellátási kötelezettséggel, a vállalkozó fogorvos általi vállalkozás keretében történő működtetéséhez, a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zzal, hogy jelen megállapodás a</w:t>
      </w:r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 E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gészségbiztosítási Alapkezelő-</w:t>
      </w:r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 xml:space="preserve">vel kötött finanszírozási szerződéssel, a szükséges működési engedélyen utcanévjegyzékkel, melyre a területi ellátási kötelezettség kiterjed és az orvosi felelősségbiztosítás szerződéssel együtt érvényes. </w:t>
      </w:r>
    </w:p>
    <w:p w:rsidR="003E41F3" w:rsidRP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41F3">
        <w:rPr>
          <w:rFonts w:ascii="Times New Roman" w:eastAsia="Times New Roman" w:hAnsi="Times New Roman"/>
          <w:sz w:val="24"/>
          <w:szCs w:val="24"/>
          <w:lang w:eastAsia="hu-HU"/>
        </w:rPr>
        <w:t xml:space="preserve">Az orvosi körzethatárok módosítása, új körzet kialakítása a Képviselő-testület hatásköre, melyet a vállalkozó tudomásul vesz. </w:t>
      </w: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 xml:space="preserve">. Megbízó megbízza a Megbízottat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fogorvosi körzetében, 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07942" w:rsidRPr="00707942">
        <w:rPr>
          <w:rFonts w:ascii="Times New Roman" w:eastAsia="Times New Roman" w:hAnsi="Times New Roman"/>
          <w:sz w:val="24"/>
          <w:szCs w:val="24"/>
          <w:lang w:eastAsia="hu-HU"/>
        </w:rPr>
        <w:t>4/2000. (II.24.) EüM. rend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>eletben szabályozott feltételeknek megfelelően</w:t>
      </w:r>
      <w:r w:rsidR="00707942" w:rsidRPr="00707942">
        <w:rPr>
          <w:rFonts w:ascii="Times New Roman" w:eastAsia="Times New Roman" w:hAnsi="Times New Roman"/>
          <w:sz w:val="24"/>
          <w:szCs w:val="24"/>
          <w:lang w:eastAsia="hu-HU"/>
        </w:rPr>
        <w:t>, a fogorvosi feladatok egészségügyi vállalko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>zás keretében történő ellátásával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>a jelen szerződésben rögzített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feltételekkel.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Jelen feladat - ellátási szerződésben foglalt kötelezettség teljesítésében 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 xml:space="preserve">Megbízott 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köteles személyesen eljárni. 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 xml:space="preserve">A megbízás 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teljesítéséért személyes felelősség terheli. </w:t>
      </w:r>
    </w:p>
    <w:p w:rsidR="00BD5D97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7942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07942">
        <w:rPr>
          <w:rFonts w:ascii="Times New Roman" w:eastAsia="Times New Roman" w:hAnsi="Times New Roman"/>
          <w:sz w:val="24"/>
          <w:szCs w:val="24"/>
          <w:lang w:eastAsia="hu-HU"/>
        </w:rPr>
        <w:t>. Megbízott a megbízást elfogadja és egyben kijelenti, hogy a fogászati feladatok ellátásához szükséges, a háziorvosi, házi gyermekorvosi és fogorvosi tevékenységről szóló 4/2000. (II:25.) EüM rendeletben előírt feltételekkel rendelkezik, ennek alapján a területi ellátási kötelezettséget vállalja.</w:t>
      </w:r>
    </w:p>
    <w:p w:rsidR="00707942" w:rsidRPr="00667CEE" w:rsidRDefault="00707942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7942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4. Megbízott köteles a fogorvosi feladatok ellátását a szakképesítési feltételeknek, a helyettesítési rendnek, a jogszabályokban valamint jelen szerződésben foglaltaknak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megfelelően teljesíteni. Köteles szakmai munkáját mindenkor az e feladatra vonatkozó hatályos jogszabályok maradéktalan betartásával, megfelelő szakmai színvonalon, elvárható gondosság mellett végezni.</w:t>
      </w:r>
    </w:p>
    <w:p w:rsidR="00707942" w:rsidRDefault="00707942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5.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 felek rögzítik, hogy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Telki Község Önkorm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ányzata Képviselő Testületének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fogorvosi ellátásról szóló …. számú rendelete/határozata alapján a Telki fogorvosi körzetben a fogorvosi ellátást személyesen</w:t>
      </w:r>
    </w:p>
    <w:p w:rsidR="00BD5D97" w:rsidRPr="00667CEE" w:rsidRDefault="00BD5D97" w:rsidP="00217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…………………. fogorvos </w:t>
      </w:r>
      <w:proofErr w:type="spellStart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Onyt</w:t>
      </w:r>
      <w:proofErr w:type="spellEnd"/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. száma: </w:t>
      </w:r>
    </w:p>
    <w:p w:rsidR="00BD5D97" w:rsidRDefault="00BD5D97" w:rsidP="00217080">
      <w:pPr>
        <w:spacing w:after="0" w:line="240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Oklevél sorszám: ………………….</w:t>
      </w:r>
      <w:r w:rsidR="003E41F3">
        <w:rPr>
          <w:rFonts w:ascii="Times New Roman" w:eastAsia="Times New Roman" w:hAnsi="Times New Roman"/>
          <w:sz w:val="24"/>
          <w:szCs w:val="24"/>
          <w:lang w:eastAsia="hu-HU"/>
        </w:rPr>
        <w:t xml:space="preserve"> látja el.</w:t>
      </w: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6. Megbízott a szerződés hatálya alatt a praxist ellátó fogorvos személyében bekövetkező változást haladéktalanul köteles írásban bejelenteni a Megbízónak.</w:t>
      </w: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7. Megbízott a jelen szerződés I/4. pontjában meghatározott ellátási területre az Országos Egészségbiztosítási Pénztárral közvetlen finanszírozási szerződést köt. A Megbízott ezen finanszírozási szerződés egy másolati példányát köteles Megbízónak átadni. </w:t>
      </w:r>
    </w:p>
    <w:p w:rsidR="00BD5D97" w:rsidRDefault="00BD5D97" w:rsidP="00217080">
      <w:pPr>
        <w:spacing w:after="0" w:line="240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67CEE" w:rsidRPr="00667CEE" w:rsidRDefault="00503368" w:rsidP="00217080">
      <w:pPr>
        <w:spacing w:after="0" w:line="240" w:lineRule="auto"/>
        <w:ind w:left="794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IV </w:t>
      </w:r>
      <w:r w:rsidR="00667CEE" w:rsidRPr="00667CE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Megbízó jogai és kötelezettségei</w:t>
      </w:r>
    </w:p>
    <w:p w:rsidR="00667CEE" w:rsidRPr="00667CEE" w:rsidRDefault="00667CEE" w:rsidP="00217080">
      <w:pPr>
        <w:spacing w:after="0" w:line="240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Megbízó a jelen szerződés hatályának időtartamára,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a fogorvosi alapellátási körzet lakosságának fogászati alapellátása érdekében a vállalkozó fogorvos részére a Telki önkormányzat 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tulajdonában lévő Egészségház (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2089 Telki, Tücsök utca 2.) épület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ben </w:t>
      </w:r>
      <w:r w:rsidR="00B15ACC">
        <w:rPr>
          <w:rFonts w:ascii="Times New Roman" w:eastAsia="Times New Roman" w:hAnsi="Times New Roman"/>
          <w:sz w:val="24"/>
          <w:szCs w:val="24"/>
          <w:lang w:eastAsia="hu-HU"/>
        </w:rPr>
        <w:t>található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rendelőhelyiség</w:t>
      </w:r>
      <w:r w:rsidR="00166A48" w:rsidRPr="00667CEE">
        <w:rPr>
          <w:rFonts w:ascii="Times New Roman" w:eastAsia="Times New Roman" w:hAnsi="Times New Roman"/>
          <w:sz w:val="24"/>
          <w:szCs w:val="24"/>
          <w:lang w:eastAsia="hu-HU"/>
        </w:rPr>
        <w:t>et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(továbbiakban fogorvosi rendelő</w:t>
      </w:r>
      <w:r w:rsidR="008124FC">
        <w:rPr>
          <w:rFonts w:ascii="Times New Roman" w:eastAsia="Times New Roman" w:hAnsi="Times New Roman"/>
          <w:sz w:val="24"/>
          <w:szCs w:val="24"/>
          <w:lang w:eastAsia="hu-HU"/>
        </w:rPr>
        <w:t>) térítésmentesen</w:t>
      </w:r>
      <w:r w:rsidR="00EB6A98">
        <w:rPr>
          <w:rFonts w:ascii="Times New Roman" w:eastAsia="Times New Roman" w:hAnsi="Times New Roman"/>
          <w:sz w:val="24"/>
          <w:szCs w:val="24"/>
          <w:lang w:eastAsia="hu-HU"/>
        </w:rPr>
        <w:t>, bérleti díj fizetési kötelezettség nélkül</w:t>
      </w:r>
      <w:r w:rsidR="008124FC">
        <w:rPr>
          <w:rFonts w:ascii="Times New Roman" w:eastAsia="Times New Roman" w:hAnsi="Times New Roman"/>
          <w:sz w:val="24"/>
          <w:szCs w:val="24"/>
          <w:lang w:eastAsia="hu-HU"/>
        </w:rPr>
        <w:t xml:space="preserve"> adja birtokba</w:t>
      </w:r>
      <w:r w:rsidR="00D44BB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3E41F3" w:rsidRDefault="003E41F3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5ACC" w:rsidRDefault="00B15ACC" w:rsidP="00217080">
      <w:pPr>
        <w:pStyle w:val="Szvegtrzsbehzssal2"/>
        <w:spacing w:after="0" w:line="240" w:lineRule="auto"/>
        <w:ind w:left="0"/>
        <w:jc w:val="both"/>
      </w:pPr>
      <w:r>
        <w:t>2. Megbízó szavatol azért, hogy a IV/1. pontban meghatározott helyiségek a jelen szerződés hatályának időtartama alatt rendeltetésszerű használatra alkalmasak legyenek. Megbízó</w:t>
      </w:r>
      <w:r w:rsidR="008D24BB">
        <w:t>,</w:t>
      </w:r>
      <w:r>
        <w:t xml:space="preserve"> Megbízott szükségtelen</w:t>
      </w:r>
      <w:r w:rsidR="008D24BB">
        <w:t>t nem meghaladó</w:t>
      </w:r>
      <w:r>
        <w:t xml:space="preserve"> zavarása mellett jogosult az ingatlant és annak rendeltetésszerű használatát ellenőrizni.</w:t>
      </w:r>
    </w:p>
    <w:p w:rsidR="00B15ACC" w:rsidRDefault="00B15ACC" w:rsidP="00217080">
      <w:pPr>
        <w:pStyle w:val="Szvegtrzsbehzssal2"/>
        <w:spacing w:after="0" w:line="240" w:lineRule="auto"/>
        <w:ind w:left="0"/>
        <w:jc w:val="both"/>
      </w:pPr>
    </w:p>
    <w:p w:rsidR="00472B52" w:rsidRDefault="00217080" w:rsidP="00217080">
      <w:pPr>
        <w:pStyle w:val="Szvegtrzsbehzssal2"/>
        <w:spacing w:after="0" w:line="240" w:lineRule="auto"/>
        <w:ind w:left="0"/>
        <w:jc w:val="both"/>
      </w:pPr>
      <w:r>
        <w:t xml:space="preserve">3. </w:t>
      </w:r>
      <w:r w:rsidR="00D44BBD">
        <w:t xml:space="preserve">Az Egészségház épületének üzemeltetését </w:t>
      </w:r>
      <w:r w:rsidR="00472B52" w:rsidRPr="00667CEE">
        <w:t>Megbízó</w:t>
      </w:r>
      <w:r w:rsidR="00D44BBD">
        <w:t xml:space="preserve"> végzi. Az üzemeltetés magába foglalja az épület</w:t>
      </w:r>
      <w:r w:rsidR="008124FC">
        <w:t xml:space="preserve"> karbantartását, az épületen</w:t>
      </w:r>
      <w:r w:rsidR="00D44BBD">
        <w:t xml:space="preserve"> belüli és kívüli takarítás, a kommunális hulladék elszállítását, az épület körüli parkosított terület karbantartását. </w:t>
      </w:r>
    </w:p>
    <w:p w:rsidR="00217080" w:rsidRDefault="00217080" w:rsidP="00217080">
      <w:pPr>
        <w:pStyle w:val="Szvegtrzsbehzssal2"/>
        <w:spacing w:after="0" w:line="240" w:lineRule="auto"/>
        <w:ind w:left="0"/>
        <w:jc w:val="both"/>
      </w:pPr>
    </w:p>
    <w:p w:rsidR="00B15ACC" w:rsidRPr="00217080" w:rsidRDefault="008124FC" w:rsidP="00217080">
      <w:pPr>
        <w:pStyle w:val="Szvegtrzsbehzssal2"/>
        <w:spacing w:after="0" w:line="240" w:lineRule="auto"/>
        <w:ind w:left="0"/>
        <w:jc w:val="both"/>
      </w:pPr>
      <w:r>
        <w:t>4</w:t>
      </w:r>
      <w:r w:rsidR="00B15ACC">
        <w:t>. A Megbízó tulajdonában álló, az IV/1. pontban megjelölt épületre a Megbízó biztosítást köt és annak költségeit viseli.</w:t>
      </w:r>
    </w:p>
    <w:p w:rsidR="00217080" w:rsidRPr="00667CEE" w:rsidRDefault="00217080" w:rsidP="00217080">
      <w:pPr>
        <w:pStyle w:val="Szvegtrzsbehzssal2"/>
        <w:spacing w:after="0" w:line="240" w:lineRule="auto"/>
        <w:ind w:left="0"/>
        <w:jc w:val="both"/>
      </w:pPr>
    </w:p>
    <w:p w:rsidR="00217080" w:rsidRPr="00217080" w:rsidRDefault="00503368" w:rsidP="00217080">
      <w:pPr>
        <w:spacing w:after="0" w:line="240" w:lineRule="auto"/>
        <w:ind w:left="708"/>
        <w:jc w:val="center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V. </w:t>
      </w:r>
      <w:r w:rsidR="00217080" w:rsidRPr="0021708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Megbízott jogai és kötelezettségei</w:t>
      </w:r>
    </w:p>
    <w:p w:rsidR="00217080" w:rsidRPr="00667CEE" w:rsidRDefault="00217080" w:rsidP="0021708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2B52" w:rsidRPr="00667CEE" w:rsidRDefault="00217080" w:rsidP="00217080">
      <w:pPr>
        <w:pStyle w:val="Szvegtrzsbehzssal2"/>
        <w:spacing w:after="0" w:line="240" w:lineRule="auto"/>
        <w:ind w:left="0"/>
        <w:jc w:val="both"/>
      </w:pPr>
      <w:r>
        <w:t xml:space="preserve">1. </w:t>
      </w:r>
      <w:r w:rsidR="00472B52" w:rsidRPr="00667CEE">
        <w:t xml:space="preserve">A rendelő szakmai felszerelését, </w:t>
      </w:r>
      <w:r w:rsidR="00D44BBD">
        <w:t xml:space="preserve">ezen felszerelés </w:t>
      </w:r>
      <w:r w:rsidR="00472B52" w:rsidRPr="00667CEE">
        <w:t xml:space="preserve">karbantartását a Megbízott vállalja, ő gondoskodik </w:t>
      </w:r>
      <w:r w:rsidR="00A90680">
        <w:t>ezen eszközök</w:t>
      </w:r>
      <w:r w:rsidR="00472B52" w:rsidRPr="00667CEE">
        <w:t xml:space="preserve"> folyamatos működőképes rendelkezésre állásáról, javításáról, felújításáról és pótlásáról. Megbízó hozzájárulását adja a fenti címen elhelyezkedő ingatlan Megbízott által telephelyként való használatához és szavatolja e hozzájárulásának gyakorlására való jogosultságát.</w:t>
      </w:r>
    </w:p>
    <w:p w:rsidR="00472B52" w:rsidRPr="00667CEE" w:rsidRDefault="00472B52" w:rsidP="00217080">
      <w:pPr>
        <w:pStyle w:val="Szvegtrzsbehzssal2"/>
        <w:spacing w:after="0" w:line="240" w:lineRule="auto"/>
        <w:ind w:left="0"/>
        <w:jc w:val="both"/>
      </w:pPr>
    </w:p>
    <w:p w:rsidR="00472B52" w:rsidRDefault="00217080" w:rsidP="00D44BBD">
      <w:pPr>
        <w:pStyle w:val="Szvegtrzsbehzssal2"/>
        <w:spacing w:after="0" w:line="240" w:lineRule="auto"/>
        <w:ind w:left="0"/>
        <w:jc w:val="both"/>
      </w:pPr>
      <w:r>
        <w:lastRenderedPageBreak/>
        <w:t xml:space="preserve">2. </w:t>
      </w:r>
      <w:r w:rsidR="00D44BBD" w:rsidRPr="00D44BBD">
        <w:t xml:space="preserve">A körzet </w:t>
      </w:r>
      <w:r w:rsidR="00D44BBD">
        <w:t xml:space="preserve">szakmai </w:t>
      </w:r>
      <w:r w:rsidR="00D44BBD" w:rsidRPr="00D44BBD">
        <w:t xml:space="preserve">működtetésével kapcsolatos </w:t>
      </w:r>
      <w:r w:rsidR="00D44BBD">
        <w:t>feladatok és annak</w:t>
      </w:r>
      <w:r w:rsidR="00D44BBD" w:rsidRPr="00D44BBD">
        <w:t xml:space="preserve"> költsége</w:t>
      </w:r>
      <w:r w:rsidR="00D44BBD">
        <w:t>i</w:t>
      </w:r>
      <w:r w:rsidR="00D44BBD" w:rsidRPr="00D44BBD">
        <w:t xml:space="preserve"> – úgymint veszélyes hulladék szállítása, textíliák mosatása, eszköz sterilizálási költségek – viselése a Megbízottat terhelik</w:t>
      </w:r>
      <w:r w:rsidR="00D44BBD">
        <w:t>.</w:t>
      </w:r>
    </w:p>
    <w:p w:rsidR="00A90680" w:rsidRDefault="00A90680" w:rsidP="00D44BBD">
      <w:pPr>
        <w:pStyle w:val="Szvegtrzsbehzssal2"/>
        <w:spacing w:after="0" w:line="240" w:lineRule="auto"/>
        <w:ind w:left="0"/>
        <w:jc w:val="both"/>
      </w:pPr>
    </w:p>
    <w:p w:rsidR="00A90680" w:rsidRDefault="00A90680" w:rsidP="00D44BBD">
      <w:pPr>
        <w:pStyle w:val="Szvegtrzsbehzssal2"/>
        <w:spacing w:after="0" w:line="240" w:lineRule="auto"/>
        <w:ind w:left="0"/>
        <w:jc w:val="both"/>
      </w:pPr>
      <w:r>
        <w:t>Megbízott a rendelő üzemeltetéséért</w:t>
      </w:r>
      <w:r w:rsidR="008124FC">
        <w:t xml:space="preserve"> (IV/3. pont)</w:t>
      </w:r>
      <w:r>
        <w:t xml:space="preserve">, amely magába foglalja a takarítást, kommunális hulladék elszállítását és a rezsi költségeket is, üzemeltetési díjat fizet Megbízónak. </w:t>
      </w:r>
    </w:p>
    <w:p w:rsidR="00D44BBD" w:rsidRPr="00667CEE" w:rsidRDefault="00D44BBD" w:rsidP="00D44BBD">
      <w:pPr>
        <w:pStyle w:val="Szvegtrzsbehzssal2"/>
        <w:spacing w:after="0" w:line="240" w:lineRule="auto"/>
        <w:ind w:left="0"/>
        <w:jc w:val="both"/>
      </w:pPr>
    </w:p>
    <w:p w:rsidR="00472B52" w:rsidRPr="00667CEE" w:rsidRDefault="00217080" w:rsidP="00217080">
      <w:pPr>
        <w:pStyle w:val="Szvegtrzs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72B52" w:rsidRPr="00667CEE">
        <w:rPr>
          <w:sz w:val="24"/>
          <w:szCs w:val="24"/>
        </w:rPr>
        <w:t>A Megbízott vállalja, hogy a tevékenységéről a Megbízó önkormányzat által meghatározott szempontok szerint évente beszámol a képviselő-testületnek, vagy az illetékes bizottságnak, illetve a polgármesternek.</w:t>
      </w:r>
    </w:p>
    <w:p w:rsidR="00BD5D97" w:rsidRPr="00667CEE" w:rsidRDefault="00BD5D97" w:rsidP="00217080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217080" w:rsidP="00217080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spacing w:val="-5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BD5D97" w:rsidRPr="00667CEE">
        <w:rPr>
          <w:b w:val="0"/>
          <w:sz w:val="24"/>
          <w:szCs w:val="24"/>
        </w:rPr>
        <w:t xml:space="preserve">A fogorvosi rendelőben </w:t>
      </w:r>
      <w:r w:rsidR="00833004" w:rsidRPr="00667CEE">
        <w:rPr>
          <w:b w:val="0"/>
          <w:i/>
          <w:iCs/>
          <w:spacing w:val="-5"/>
          <w:sz w:val="24"/>
          <w:szCs w:val="24"/>
        </w:rPr>
        <w:t xml:space="preserve">60/2003. (X. 20.) </w:t>
      </w:r>
      <w:proofErr w:type="spellStart"/>
      <w:r w:rsidR="00833004" w:rsidRPr="00667CEE">
        <w:rPr>
          <w:b w:val="0"/>
          <w:i/>
          <w:iCs/>
          <w:spacing w:val="-5"/>
          <w:sz w:val="24"/>
          <w:szCs w:val="24"/>
        </w:rPr>
        <w:t>ESzCsM</w:t>
      </w:r>
      <w:proofErr w:type="spellEnd"/>
      <w:r w:rsidR="00833004" w:rsidRPr="00667CEE">
        <w:rPr>
          <w:b w:val="0"/>
          <w:i/>
          <w:iCs/>
          <w:spacing w:val="-5"/>
          <w:sz w:val="24"/>
          <w:szCs w:val="24"/>
        </w:rPr>
        <w:t xml:space="preserve"> rendelet az egészségügyi szolgáltatások nyújtásához szükséges szakmai minimumfeltételekről szóló alapfelszerelések</w:t>
      </w:r>
      <w:r w:rsidR="00BD5D97" w:rsidRPr="00667CEE">
        <w:rPr>
          <w:b w:val="0"/>
          <w:sz w:val="24"/>
          <w:szCs w:val="24"/>
        </w:rPr>
        <w:t xml:space="preserve">, orvosi gépek, műszerek, eszközök beszerzése a fogorvos feladata. A szerződés megszűnése esetén az alapellátáshoz szükséges, a vállalkozó által vásárolt tulajdonát képező gépek, műszerek vételét felajánlhatja az önkormányzatnak. </w:t>
      </w:r>
      <w:r w:rsidR="0015266C" w:rsidRPr="0015266C">
        <w:rPr>
          <w:b w:val="0"/>
          <w:sz w:val="24"/>
          <w:szCs w:val="24"/>
        </w:rPr>
        <w:t>A fogorvosi ellátáshoz szükséges alapanyagokat és segédanyagokat Megbízott saját költségén biztosítja.</w:t>
      </w:r>
    </w:p>
    <w:p w:rsidR="00BD5D97" w:rsidRPr="00667CEE" w:rsidRDefault="00BD5D97" w:rsidP="00217080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217080" w:rsidP="00217080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5. </w:t>
      </w:r>
      <w:r w:rsidR="0015266C">
        <w:rPr>
          <w:rFonts w:ascii="Times New Roman" w:eastAsia="Times New Roman" w:hAnsi="Times New Roman"/>
          <w:sz w:val="24"/>
          <w:szCs w:val="24"/>
          <w:lang w:eastAsia="hu-HU"/>
        </w:rPr>
        <w:t>Az ingatlanba Megbízott által bevitt ingóságok, eszközök, felszerelések biztosítása Megbízott költsége és feladat</w:t>
      </w:r>
      <w:r w:rsidR="00D44BB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15266C">
        <w:rPr>
          <w:rFonts w:ascii="Times New Roman" w:eastAsia="Times New Roman" w:hAnsi="Times New Roman"/>
          <w:sz w:val="24"/>
          <w:szCs w:val="24"/>
          <w:lang w:eastAsia="hu-HU"/>
        </w:rPr>
        <w:t>. Megbízót e tekintetben felelősség nem terheli.</w:t>
      </w:r>
    </w:p>
    <w:p w:rsidR="00BD5D97" w:rsidRPr="00667CEE" w:rsidRDefault="00BD5D97" w:rsidP="00217080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7080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6.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rendelési időt, a települési ellátási kötelezettséggel érintett lakosság igényeihez igazítottan, a Megbízóval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ve alakítja ki. Megbízott az így kialakított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rendelési idejét köteles kifüggeszteni és betartani.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rendelési idő változásáról a Megbízót köteles értesíteni. </w:t>
      </w:r>
    </w:p>
    <w:p w:rsidR="00217080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7080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rendelési idő: ………………</w:t>
      </w:r>
    </w:p>
    <w:p w:rsidR="00217080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7.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a rendelőben köteles jól látható hirdetményben tételesen felsorolni azokat a fogászati szolgáltatásokat, melyek a biztosítottak részére az alapellátás körében térítésmentesen vehetők igénybe, és azokat is – a díjak megjelölésével, - melyek térítéskötelesek.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Megbízott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szolgáltatásainak, rendeletekben nem szabályozott körben, díjtételeit maga szabadon állapítja meg.</w:t>
      </w:r>
    </w:p>
    <w:p w:rsidR="0015266C" w:rsidRPr="00667CEE" w:rsidRDefault="0015266C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217080" w:rsidP="00217080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8.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köteles a jogszabályokban előírt nyilvántartások vezetésére, az adatok megőrzésére és a személyiségi jogok védelméről szóló rendelkezések maradéktalan betartására. </w:t>
      </w:r>
    </w:p>
    <w:p w:rsidR="00BD5D97" w:rsidRPr="00667CEE" w:rsidRDefault="00BD5D97" w:rsidP="00217080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9.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 fogászati ellátást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Megbízott az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alkalmazásában álló, fogászati tevékenységet végző fogászati szakasszisztenssel együttműködve végzi és ellátja annak szakmai felügyeletét. </w:t>
      </w:r>
    </w:p>
    <w:p w:rsidR="00217080" w:rsidRPr="00667CEE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217080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10.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kötelezettséget vállal arra, hogy a jelen megállapodásban meghatározott működési területén az Országos Egészségbiztosítási Pénztárral kötött szerződés alapján a fogászati szolgáltatás és az iskola-egészségügyi ellátás körébe tartozó fogászati feladatainak a mindenkor érvényes jogszabályok és szakmai előírások szerint eleget tesz. </w:t>
      </w:r>
    </w:p>
    <w:p w:rsidR="00BD5D97" w:rsidRPr="00667CEE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elsődleges, személyes és folyamatos ellátást nyújt a fogászati egészségi állapot megőrzése, a fogbetegségek megelőzése és gyógyítása céljából.</w:t>
      </w:r>
    </w:p>
    <w:p w:rsidR="00BD5D97" w:rsidRPr="00667CEE" w:rsidRDefault="00BD5D97" w:rsidP="00217080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11.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megszervezi a saját helyettesítését.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helyettesítését csak olyan orvos láthatja el, aki a feladatkörre előírt feltételekkel rendelkezik. </w:t>
      </w:r>
    </w:p>
    <w:p w:rsidR="00BD5D97" w:rsidRPr="00667CEE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Megbízott a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helyettesítést ellátó tevékenységéért úgy felel, mint a sajátjáért.</w:t>
      </w:r>
    </w:p>
    <w:p w:rsidR="00472B52" w:rsidRPr="00667CEE" w:rsidRDefault="00472B52" w:rsidP="00217080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6F66D7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503368">
        <w:rPr>
          <w:rFonts w:ascii="Times New Roman" w:eastAsia="Times New Roman" w:hAnsi="Times New Roman"/>
          <w:sz w:val="24"/>
          <w:szCs w:val="24"/>
          <w:lang w:eastAsia="hu-HU"/>
        </w:rPr>
        <w:t xml:space="preserve">2. </w:t>
      </w:r>
      <w:r w:rsidR="00570638" w:rsidRPr="00667CEE">
        <w:rPr>
          <w:rFonts w:ascii="Times New Roman" w:eastAsia="Times New Roman" w:hAnsi="Times New Roman"/>
          <w:sz w:val="24"/>
          <w:szCs w:val="24"/>
          <w:lang w:eastAsia="hu-HU"/>
        </w:rPr>
        <w:t>Telki község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Önkormányzata tudomásul veszi, hogy a Nemzeti Egészségbiztosítási Alapkezelő jelen szerződés hatálybalépését követően az egészségbiztosítási támogatási összegeket közvetlenül a vállalkozó fogorvos részére utalja át. </w:t>
      </w:r>
    </w:p>
    <w:p w:rsidR="00503368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13.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 vállalkozó szakmai felügyeletét a </w:t>
      </w:r>
      <w:r w:rsidR="00570638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Pest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Megyei Kormányhivatal </w:t>
      </w:r>
      <w:r w:rsidR="00570638" w:rsidRPr="00667CEE">
        <w:rPr>
          <w:rFonts w:ascii="Times New Roman" w:eastAsia="Times New Roman" w:hAnsi="Times New Roman"/>
          <w:sz w:val="24"/>
          <w:szCs w:val="24"/>
          <w:lang w:eastAsia="hu-HU"/>
        </w:rPr>
        <w:t>Budakeszi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Járási Hivatal Népegészségügyi Szakigazgatási Szerv Tisztifőorvosa és a Nemzeti Egészségbiztosítási Alapkezelő látja el, az utóbbi finanszírozásában való részvétele miatt érvényesítheti a meghatározott jogát. </w:t>
      </w:r>
    </w:p>
    <w:p w:rsidR="00503368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14.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Amennyiben a felügyelő szervek a vállalkozó szakmai munkáját nem találják megfelelőnek, akkor az önkormányzat kezdeményezi a szerződés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azonnali hatályú felmondását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15266C" w:rsidRDefault="0015266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5266C" w:rsidRDefault="0015266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15. Megbízott a jelen szerző</w:t>
      </w:r>
      <w:r w:rsidR="008D24BB">
        <w:rPr>
          <w:rFonts w:ascii="Times New Roman" w:eastAsia="Times New Roman" w:hAnsi="Times New Roman"/>
          <w:sz w:val="24"/>
          <w:szCs w:val="24"/>
          <w:lang w:eastAsia="hu-HU"/>
        </w:rPr>
        <w:t xml:space="preserve">dés megszűnése esetén köteles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ál</w:t>
      </w:r>
      <w:r w:rsidR="008D24BB">
        <w:rPr>
          <w:rFonts w:ascii="Times New Roman" w:eastAsia="Times New Roman" w:hAnsi="Times New Roman"/>
          <w:sz w:val="24"/>
          <w:szCs w:val="24"/>
          <w:lang w:eastAsia="hu-HU"/>
        </w:rPr>
        <w:t>tala használt rendelőhelyiséget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annak Megbízó tulajdonában lévő berendezési tárgyait hiánytalanul, a jelen szerződés megszűnését követő </w:t>
      </w:r>
      <w:r w:rsidR="008D24BB">
        <w:rPr>
          <w:rFonts w:ascii="Times New Roman" w:eastAsia="Times New Roman" w:hAnsi="Times New Roman"/>
          <w:sz w:val="24"/>
          <w:szCs w:val="24"/>
          <w:lang w:eastAsia="hu-HU"/>
        </w:rPr>
        <w:t>15 napon belül, tiszta, kiürített, az átvételkorival megegyező állapotban Megbízónak átadni.</w:t>
      </w:r>
    </w:p>
    <w:p w:rsidR="00503368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Default="00D24A4B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Pr="00D24A4B" w:rsidRDefault="00D24A4B" w:rsidP="00DB72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24A4B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VI. Üzemeltetési díj, rezsiköltségek és ezek megfizetése</w:t>
      </w: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1. Felek a fogorv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>osi rendelő és egyéb helyiségekre vonatkozó üzemeltetési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díj összegét </w:t>
      </w:r>
      <w:r w:rsidR="003622D7">
        <w:rPr>
          <w:rFonts w:ascii="Times New Roman" w:eastAsia="Times New Roman" w:hAnsi="Times New Roman"/>
          <w:sz w:val="24"/>
          <w:szCs w:val="24"/>
          <w:lang w:eastAsia="hu-HU"/>
        </w:rPr>
        <w:t>130.000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Ft+Áfa</w:t>
      </w:r>
      <w:proofErr w:type="spellEnd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/hó rögzítik. A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>üzemeltetési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díj fizetési kötelezettség</w:t>
      </w:r>
      <w:proofErr w:type="gramStart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….</w:t>
      </w:r>
      <w:proofErr w:type="gramEnd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.-</w:t>
      </w:r>
      <w:proofErr w:type="spellStart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től</w:t>
      </w:r>
      <w:proofErr w:type="spellEnd"/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veszi kezdetét.</w:t>
      </w: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2. Felek megállapodnak, hogy jelen szerződés hatálybalépésével egyidejűleg Megbízott </w:t>
      </w:r>
      <w:r w:rsidR="00296C6D">
        <w:rPr>
          <w:rFonts w:ascii="Times New Roman" w:eastAsia="Times New Roman" w:hAnsi="Times New Roman"/>
          <w:sz w:val="24"/>
          <w:szCs w:val="24"/>
          <w:lang w:eastAsia="hu-HU"/>
        </w:rPr>
        <w:t>780.000.-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Ft összegű előleget fizet meg Megbízó …. bankszámlájára banki átutalással. Felek úgy rendelkeznek, hogy az előző pontban meghatározott 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 xml:space="preserve">üzemeltetési 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díjat Megbízó ezen előlegből jóváírva tekinti teljesítettnek. Amennyiben az előleg teljes összege jóváírásra kerül, úgy Megbízott a mindenkor esedékes 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>üzemeltetési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díjat Megbízó számlája alapján banki átutalással fizeti meg az adott hónapra előre.</w:t>
      </w: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3. A háziorvosi körzetek működtetésével kapcsolatos rezsiköltség (víz, csatorna, villany, gáz) viselése a területi ellátási kötelezettséget vállaló Megbízottat terheli. Tekintettel arra, hogy a Megbízó által a Megbízott rendelkezésére bocsátott Egészségház épületében a közüzemi költségek rendelőnkénti mérése nem megoldott, a jelen szerződés megkötésekor fennálló helyzet alapján a Megbízott által fizetendő rezsi költségek kiszámításának módját Felek az alábbiak szerint határozzák meg. A villamos energia a víz-, csatorna- és gázfogyasztásra vonatkozóan a közös fogyasztásmérőn mért, és Megbízó által a szolgáltató számlája alapján megfizetett összeg 25 %-át köteles Megbízott Megbízó részére megfizetni. (Ezen fogyasztásmérő Megbízó tájékoztatása szerint az épületben működő egy háziorvosi egy gyermekorvosi egy fogorvosi és a védőnői szolgálat fogyasztását foglalja magában.) </w:t>
      </w:r>
    </w:p>
    <w:p w:rsidR="00483787" w:rsidRDefault="00483787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83787" w:rsidRPr="00D24A4B" w:rsidRDefault="00483787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rezsiköltségek díjával Felek az üzemeltetési költség keretin belül számolnak el egymással.</w:t>
      </w: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4A4B" w:rsidRPr="00D24A4B" w:rsidRDefault="00D24A4B" w:rsidP="00D24A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>4. Szerződő felek megállapodnak abban, hogy</w:t>
      </w:r>
      <w:r w:rsidR="00483787">
        <w:rPr>
          <w:rFonts w:ascii="Times New Roman" w:eastAsia="Times New Roman" w:hAnsi="Times New Roman"/>
          <w:sz w:val="24"/>
          <w:szCs w:val="24"/>
          <w:lang w:eastAsia="hu-HU"/>
        </w:rPr>
        <w:t xml:space="preserve"> az üzemeltetési díj és azon belül</w:t>
      </w:r>
      <w:r w:rsidRPr="00D24A4B">
        <w:rPr>
          <w:rFonts w:ascii="Times New Roman" w:eastAsia="Times New Roman" w:hAnsi="Times New Roman"/>
          <w:sz w:val="24"/>
          <w:szCs w:val="24"/>
          <w:lang w:eastAsia="hu-HU"/>
        </w:rPr>
        <w:t xml:space="preserve"> a rezsiköltségek viselése mértékének felülvizsgálatát jelen szerződés hatályba lépésétől számított 6 hónapon belül jogosultak kezdeményezni.</w:t>
      </w:r>
    </w:p>
    <w:p w:rsidR="00503368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70638" w:rsidRPr="00503368" w:rsidRDefault="00503368" w:rsidP="002170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</w:t>
      </w:r>
      <w:r w:rsidR="00E1197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I. </w:t>
      </w:r>
      <w:r w:rsidR="00667CEE" w:rsidRPr="0050336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feladat-ellátási szerződés időtartama</w:t>
      </w:r>
    </w:p>
    <w:p w:rsidR="00503368" w:rsidRPr="00667CEE" w:rsidRDefault="00503368" w:rsidP="002170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Default="00503368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Szerződő felek jelen </w:t>
      </w:r>
      <w:r w:rsidR="003E3525">
        <w:rPr>
          <w:rFonts w:ascii="Times New Roman" w:eastAsia="Times New Roman" w:hAnsi="Times New Roman"/>
          <w:sz w:val="24"/>
          <w:szCs w:val="24"/>
          <w:lang w:eastAsia="hu-HU"/>
        </w:rPr>
        <w:t xml:space="preserve">megállapodást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határozatlan időre</w:t>
      </w:r>
      <w:r w:rsidR="003E3525">
        <w:rPr>
          <w:rFonts w:ascii="Times New Roman" w:eastAsia="Times New Roman" w:hAnsi="Times New Roman"/>
          <w:sz w:val="24"/>
          <w:szCs w:val="24"/>
          <w:lang w:eastAsia="hu-HU"/>
        </w:rPr>
        <w:t xml:space="preserve"> kötik. Jelen szerződés</w:t>
      </w:r>
      <w:proofErr w:type="gramStart"/>
      <w:r w:rsidR="003E3525">
        <w:rPr>
          <w:rFonts w:ascii="Times New Roman" w:eastAsia="Times New Roman" w:hAnsi="Times New Roman"/>
          <w:sz w:val="24"/>
          <w:szCs w:val="24"/>
          <w:lang w:eastAsia="hu-HU"/>
        </w:rPr>
        <w:t xml:space="preserve"> ….</w:t>
      </w:r>
      <w:proofErr w:type="gramEnd"/>
      <w:r w:rsidR="003E3525">
        <w:rPr>
          <w:rFonts w:ascii="Times New Roman" w:eastAsia="Times New Roman" w:hAnsi="Times New Roman"/>
          <w:sz w:val="24"/>
          <w:szCs w:val="24"/>
          <w:lang w:eastAsia="hu-HU"/>
        </w:rPr>
        <w:t>.-én lép hatályba.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B722C">
        <w:rPr>
          <w:rFonts w:ascii="Times New Roman" w:eastAsia="Times New Roman" w:hAnsi="Times New Roman"/>
          <w:sz w:val="24"/>
          <w:szCs w:val="24"/>
          <w:lang w:eastAsia="hu-HU"/>
        </w:rPr>
        <w:t>Felek a jelen szerződést annak hatálybalépésétől számított 5 éven belül rendes felmondással nem szűntethetik meg.</w:t>
      </w:r>
    </w:p>
    <w:p w:rsidR="00503368" w:rsidRDefault="00503368" w:rsidP="00217080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3525" w:rsidRDefault="00503368" w:rsidP="00217080">
      <w:pPr>
        <w:spacing w:after="0" w:line="240" w:lineRule="auto"/>
        <w:ind w:left="708" w:firstLine="12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VI</w:t>
      </w:r>
      <w:r w:rsidR="00E1197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I. </w:t>
      </w:r>
      <w:r w:rsidR="003E3525" w:rsidRPr="003E352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A feladat-ellátási szerződés </w:t>
      </w:r>
      <w:r w:rsidR="003E352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módosítása, megszűnése</w:t>
      </w:r>
    </w:p>
    <w:p w:rsidR="003E3525" w:rsidRDefault="003E3525" w:rsidP="00217080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 Szerződő felek bármelyike írásban kezdeményezheti a szerződés módosítását</w:t>
      </w:r>
      <w:r w:rsidRPr="003E35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ok és a cél megjelölésével, a szerződés tárgyát érintő finanszírozási feltételek, támogatási formák, szakmai jogszabályok lényeges megváltozása, valamint az egyéb, bármelyik fél által lényegesnek ítélt körülmény megváltozása esetén.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A jelen feladat-ellátási szerződés az alábbi eset</w:t>
      </w:r>
      <w:r w:rsidR="00AB6176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kben szűnik meg: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felek erre irányuló közös megegyezésével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bármelyik fél felmondásával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azonnali hatályú felmondással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a Megbízott jogutód nélküli megszűnésével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3. 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A feladat ellátási szerződést a felek </w:t>
      </w:r>
      <w:r w:rsidR="00AB6176">
        <w:rPr>
          <w:rFonts w:ascii="Times New Roman" w:eastAsia="Times New Roman" w:hAnsi="Times New Roman"/>
          <w:sz w:val="24"/>
          <w:szCs w:val="24"/>
          <w:lang w:eastAsia="hu-HU"/>
        </w:rPr>
        <w:t xml:space="preserve">bármelyike 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hat hónapos felmondási határidővel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a másik félhez intézett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írás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beli nyilatkozattal</w:t>
      </w:r>
      <w:r w:rsidR="00AB6176">
        <w:rPr>
          <w:rFonts w:ascii="Times New Roman" w:eastAsia="Times New Roman" w:hAnsi="Times New Roman"/>
          <w:sz w:val="24"/>
          <w:szCs w:val="24"/>
          <w:lang w:eastAsia="hu-HU"/>
        </w:rPr>
        <w:t xml:space="preserve"> mondhatja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fel. </w:t>
      </w:r>
    </w:p>
    <w:p w:rsidR="003E3525" w:rsidRDefault="003E3525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AB6176" w:rsidP="00503368">
      <w:pPr>
        <w:spacing w:after="0" w:line="240" w:lineRule="auto"/>
        <w:ind w:firstLine="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4. Megbízó a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jelen feladat ellátási szerződést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azonnali hatállyal felmondhatja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, ha </w:t>
      </w:r>
    </w:p>
    <w:p w:rsidR="00AB6176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Megbízott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a feladat ellátási szerződésben vállalt kötelezettségeit írásbeli felszólítás ellenére sem teljesí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ti, vagy folytatólagosan megszeg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i a jogszabályban foglalt működésre vonatkozó előírásokat,</w:t>
      </w:r>
    </w:p>
    <w:p w:rsidR="00BD5D97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 </w:t>
      </w:r>
      <w:r w:rsidRPr="00AB6176">
        <w:rPr>
          <w:rFonts w:ascii="Times New Roman" w:eastAsia="Times New Roman" w:hAnsi="Times New Roman"/>
          <w:sz w:val="24"/>
          <w:szCs w:val="24"/>
          <w:lang w:eastAsia="hu-HU"/>
        </w:rPr>
        <w:t>Megbízott</w:t>
      </w:r>
      <w:r w:rsidR="00BD5D97" w:rsidRPr="00AB6176">
        <w:rPr>
          <w:rFonts w:ascii="Times New Roman" w:eastAsia="Times New Roman" w:hAnsi="Times New Roman"/>
          <w:sz w:val="24"/>
          <w:szCs w:val="24"/>
          <w:lang w:eastAsia="hu-HU"/>
        </w:rPr>
        <w:t xml:space="preserve"> önálló egészségügyi tevékenység végzésére való jogosultságát bármely okból elveszti. </w:t>
      </w:r>
    </w:p>
    <w:p w:rsidR="00AB6176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- az Országos Egészségbiztosítási Pénztár bármely oknál fo</w:t>
      </w:r>
      <w:r w:rsidR="00386F1F">
        <w:rPr>
          <w:rFonts w:ascii="Times New Roman" w:eastAsia="Times New Roman" w:hAnsi="Times New Roman"/>
          <w:sz w:val="24"/>
          <w:szCs w:val="24"/>
          <w:lang w:eastAsia="hu-HU"/>
        </w:rPr>
        <w:t>g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va nem köt finanszírozási szerződést a Megbízottal, vagy a meglévő szerződést bármely okból megszűnteti. </w:t>
      </w:r>
    </w:p>
    <w:p w:rsidR="00AB6176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fenti esetek bármelyikének bekövetkezésekor, amennyiben Megbízott a Megbízó írásbeli felhívása ellenére sem állítja helyre a szerződésszerű állapotot, a jelen megállapodás a felhívás kézhezvételétől számított 15. napon megszűnik.</w:t>
      </w:r>
    </w:p>
    <w:p w:rsidR="00AB6176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6176" w:rsidRDefault="00AB6176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5. Jelen szerződés bármely okból történő megszűnése esetén a Felek egymással 15 napon belül, jegyzőkönyv felvétele mellet elszámolnak. A Megbízott a részére átadott rendelőt a birtokbavételkorival megegyező állapotban átadja, valamint a leltár szerint átadott eszközöket, ingóságokat visszaszolgáltatja</w:t>
      </w:r>
      <w:r w:rsidR="0000243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0243C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0243C" w:rsidRPr="00707942" w:rsidRDefault="00E11970" w:rsidP="0050336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IX</w:t>
      </w:r>
      <w:r w:rsidR="0050336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. K</w:t>
      </w:r>
      <w:r w:rsidR="0000243C" w:rsidRPr="0070794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ártérítésre, kártalanításra vonatkozó előírások</w:t>
      </w:r>
    </w:p>
    <w:p w:rsidR="0000243C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0243C" w:rsidRPr="0000243C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 Szerződő Felek kölcsönösen úgy állapodnak meg, hogy tekintettel arra, hogy Megbízott számára a jelen megállapodás az új fogorvosi körzet létrehozásával vagyoni jogot keletkeztet, a</w:t>
      </w:r>
      <w:r w:rsidRPr="0000243C">
        <w:rPr>
          <w:rFonts w:ascii="Times New Roman" w:eastAsia="Times New Roman" w:hAnsi="Times New Roman"/>
          <w:sz w:val="24"/>
          <w:szCs w:val="24"/>
          <w:lang w:eastAsia="hu-HU"/>
        </w:rPr>
        <w:t xml:space="preserve"> Megbízottat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 esetleges jövőbeni </w:t>
      </w:r>
      <w:r w:rsidRPr="0000243C">
        <w:rPr>
          <w:rFonts w:ascii="Times New Roman" w:eastAsia="Times New Roman" w:hAnsi="Times New Roman"/>
          <w:sz w:val="24"/>
          <w:szCs w:val="24"/>
          <w:lang w:eastAsia="hu-HU"/>
        </w:rPr>
        <w:t xml:space="preserve">körzetmódosítás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esetén kártérítés nem illeti meg. </w:t>
      </w:r>
    </w:p>
    <w:p w:rsidR="0000243C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7942" w:rsidRDefault="00707942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Szintén nem illeti meg kártérítés a Megbízottat, amennyiben a jelen szerződés megszűntetésére neki felróható okból kerül sor.</w:t>
      </w:r>
    </w:p>
    <w:p w:rsidR="00707942" w:rsidRDefault="00707942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3E3525" w:rsidRDefault="00503368" w:rsidP="0050336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X. V</w:t>
      </w:r>
      <w:r w:rsidR="00667CEE" w:rsidRPr="003E352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egyes és záró rendelkezések</w:t>
      </w:r>
    </w:p>
    <w:p w:rsidR="00667CEE" w:rsidRPr="00667CEE" w:rsidRDefault="00667CEE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67CEE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</w:t>
      </w:r>
      <w:r w:rsidR="00667CEE" w:rsidRPr="00667CEE">
        <w:rPr>
          <w:rFonts w:ascii="Times New Roman" w:eastAsia="Times New Roman" w:hAnsi="Times New Roman"/>
          <w:sz w:val="24"/>
          <w:szCs w:val="24"/>
          <w:lang w:eastAsia="hu-HU"/>
        </w:rPr>
        <w:t>Jelen megállapodásra a Magyarország helyi önkormányzatairól szóló 2011. évi CLXXXIX. törvény; az egészségügyről szóló 1997. évi CLIV. törvény; a kötelező egészségbiztosítás ellátásairól szóló 1997. évi LXXXIII. törvény; az egészségügyi közszolgáltatások nyújtásáról, valamint az egészségügyi alapellátásról szóló 2015. évi CXXIII. tv.; és a 257/2001. (XII. 19.) Korm. rendelettel módosított, az egészségügyi alapból történő finanszírozás részletes szabályairól szóló 43/1999. (III.03.) Korm. rendelet az irányadó.</w:t>
      </w:r>
    </w:p>
    <w:p w:rsidR="00BE6D2B" w:rsidRPr="00667CEE" w:rsidRDefault="00BE6D2B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67CEE" w:rsidRPr="00667CEE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2. </w:t>
      </w:r>
      <w:r w:rsidR="00667CEE" w:rsidRPr="00667CEE">
        <w:rPr>
          <w:rFonts w:ascii="Times New Roman" w:eastAsia="Times New Roman" w:hAnsi="Times New Roman"/>
          <w:sz w:val="24"/>
          <w:szCs w:val="24"/>
          <w:lang w:eastAsia="hu-HU"/>
        </w:rPr>
        <w:t>A feladat - ellátási szerződésre az egészségügyről szóló 1997. évi CLIV. tv. az önálló orvosi tevékenységről szóló 2000. évi II. tv. és a társadalombiztosítás pénzügyi alapjairól szóló többször módosított 1992. évi LXXXIV. tv., a 43/1999. (III. 03.) Korm. rendelet és a módosított 4/2000. (II. 25.) EüM. r. az irányadó.</w:t>
      </w:r>
    </w:p>
    <w:p w:rsidR="00667CEE" w:rsidRPr="00667CEE" w:rsidRDefault="00667CEE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3. Szerződő Felek kölcsönösen törekednek arra, hogy a közöttük felmerülő vitás kérdéseket peren kívül, békés úton rendezzék. Ennek eredménytelensége esetére 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Felek a jelen megállapodásból eredő per- vagy jogvita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elbírálására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kölcsönösen a</w:t>
      </w:r>
      <w:r w:rsidR="00570638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Budakörnyéki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 Járásbíróság kizárólagos illetékességét kötik ki.</w:t>
      </w:r>
    </w:p>
    <w:p w:rsidR="0000243C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0243C" w:rsidRPr="00667CEE" w:rsidRDefault="0000243C" w:rsidP="00503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3. Jelen szerződést a Telki Község Önkormányzatának Képviselő Testülete …. számú határozatával jóváhagyta.</w:t>
      </w: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570638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Telki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gramStart"/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Pr="00667CEE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..</w:t>
      </w:r>
      <w:proofErr w:type="gramEnd"/>
      <w:r w:rsidR="00BD5D97" w:rsidRPr="00667CEE">
        <w:rPr>
          <w:rFonts w:ascii="Times New Roman" w:eastAsia="Times New Roman" w:hAnsi="Times New Roman"/>
          <w:sz w:val="24"/>
          <w:szCs w:val="24"/>
          <w:lang w:eastAsia="hu-HU"/>
        </w:rPr>
        <w:t>…………..</w:t>
      </w: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5D97" w:rsidRPr="00667CEE" w:rsidRDefault="00BD5D97" w:rsidP="0021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BD5D97" w:rsidRPr="00667C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DC" w:rsidRDefault="008154DC" w:rsidP="008D24BB">
      <w:pPr>
        <w:spacing w:after="0" w:line="240" w:lineRule="auto"/>
      </w:pPr>
      <w:r>
        <w:separator/>
      </w:r>
    </w:p>
  </w:endnote>
  <w:endnote w:type="continuationSeparator" w:id="0">
    <w:p w:rsidR="008154DC" w:rsidRDefault="008154DC" w:rsidP="008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277202"/>
      <w:docPartObj>
        <w:docPartGallery w:val="Page Numbers (Bottom of Page)"/>
        <w:docPartUnique/>
      </w:docPartObj>
    </w:sdtPr>
    <w:sdtEndPr/>
    <w:sdtContent>
      <w:p w:rsidR="009076DD" w:rsidRDefault="009076DD" w:rsidP="009076DD">
        <w:pPr>
          <w:pStyle w:val="llb"/>
        </w:pPr>
      </w:p>
      <w:tbl>
        <w:tblPr>
          <w:tblStyle w:val="Rcsostblzat"/>
          <w:tblW w:w="0" w:type="auto"/>
          <w:tblLook w:val="04A0" w:firstRow="1" w:lastRow="0" w:firstColumn="1" w:lastColumn="0" w:noHBand="0" w:noVBand="1"/>
        </w:tblPr>
        <w:tblGrid>
          <w:gridCol w:w="4512"/>
          <w:gridCol w:w="4550"/>
        </w:tblGrid>
        <w:tr w:rsidR="009076DD" w:rsidTr="009A3D89">
          <w:tc>
            <w:tcPr>
              <w:tcW w:w="4606" w:type="dxa"/>
            </w:tcPr>
            <w:p w:rsidR="009A3D89" w:rsidRPr="009A3D89" w:rsidRDefault="009A3D89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</w:p>
            <w:p w:rsidR="009076DD" w:rsidRPr="009A3D89" w:rsidRDefault="009076DD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  <w:r w:rsidRPr="009A3D89">
                <w:rPr>
                  <w:sz w:val="18"/>
                  <w:szCs w:val="18"/>
                </w:rPr>
                <w:t>---------------------------------------------</w:t>
              </w:r>
            </w:p>
            <w:p w:rsidR="009076DD" w:rsidRPr="009A3D89" w:rsidRDefault="009076DD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  <w:r w:rsidRPr="009A3D89">
                <w:rPr>
                  <w:sz w:val="18"/>
                  <w:szCs w:val="18"/>
                </w:rPr>
                <w:t>Megbízó/Telki Község Önkormányzata</w:t>
              </w:r>
            </w:p>
          </w:tc>
          <w:tc>
            <w:tcPr>
              <w:tcW w:w="4606" w:type="dxa"/>
            </w:tcPr>
            <w:p w:rsidR="009A3D89" w:rsidRPr="009A3D89" w:rsidRDefault="009A3D89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</w:p>
            <w:p w:rsidR="009076DD" w:rsidRPr="009A3D89" w:rsidRDefault="009076DD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  <w:r w:rsidRPr="009A3D89">
                <w:rPr>
                  <w:sz w:val="18"/>
                  <w:szCs w:val="18"/>
                </w:rPr>
                <w:t>---------------------------------------------</w:t>
              </w:r>
            </w:p>
            <w:p w:rsidR="009076DD" w:rsidRPr="009A3D89" w:rsidRDefault="009076DD" w:rsidP="009076DD">
              <w:pPr>
                <w:pStyle w:val="llb"/>
                <w:jc w:val="center"/>
                <w:rPr>
                  <w:sz w:val="18"/>
                  <w:szCs w:val="18"/>
                </w:rPr>
              </w:pPr>
              <w:r w:rsidRPr="009A3D89">
                <w:rPr>
                  <w:sz w:val="18"/>
                  <w:szCs w:val="18"/>
                </w:rPr>
                <w:t>Megbízott/……………………………</w:t>
              </w:r>
              <w:proofErr w:type="gramStart"/>
              <w:r w:rsidRPr="009A3D89">
                <w:rPr>
                  <w:sz w:val="18"/>
                  <w:szCs w:val="18"/>
                </w:rPr>
                <w:t>…….</w:t>
              </w:r>
              <w:proofErr w:type="gramEnd"/>
            </w:p>
          </w:tc>
        </w:tr>
      </w:tbl>
      <w:p w:rsidR="009076DD" w:rsidRDefault="009076DD" w:rsidP="009076DD">
        <w:pPr>
          <w:pStyle w:val="llb"/>
        </w:pPr>
      </w:p>
      <w:p w:rsidR="009076DD" w:rsidRDefault="009076DD">
        <w:pPr>
          <w:pStyle w:val="llb"/>
          <w:jc w:val="right"/>
        </w:pPr>
      </w:p>
      <w:p w:rsidR="008D24BB" w:rsidRDefault="008D24B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87">
          <w:rPr>
            <w:noProof/>
          </w:rPr>
          <w:t>1</w:t>
        </w:r>
        <w:r>
          <w:fldChar w:fldCharType="end"/>
        </w:r>
      </w:p>
    </w:sdtContent>
  </w:sdt>
  <w:p w:rsidR="008D24BB" w:rsidRDefault="008D24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DC" w:rsidRDefault="008154DC" w:rsidP="008D24BB">
      <w:pPr>
        <w:spacing w:after="0" w:line="240" w:lineRule="auto"/>
      </w:pPr>
      <w:r>
        <w:separator/>
      </w:r>
    </w:p>
  </w:footnote>
  <w:footnote w:type="continuationSeparator" w:id="0">
    <w:p w:rsidR="008154DC" w:rsidRDefault="008154DC" w:rsidP="008D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8A4"/>
    <w:multiLevelType w:val="hybridMultilevel"/>
    <w:tmpl w:val="53D45B32"/>
    <w:lvl w:ilvl="0" w:tplc="A34663AA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6B81"/>
    <w:multiLevelType w:val="hybridMultilevel"/>
    <w:tmpl w:val="88FA416A"/>
    <w:lvl w:ilvl="0" w:tplc="119E57CC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D1F1C11"/>
    <w:multiLevelType w:val="hybridMultilevel"/>
    <w:tmpl w:val="DDFC8F6E"/>
    <w:lvl w:ilvl="0" w:tplc="C51C370A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571502A"/>
    <w:multiLevelType w:val="multilevel"/>
    <w:tmpl w:val="53E261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5233D8"/>
    <w:multiLevelType w:val="hybridMultilevel"/>
    <w:tmpl w:val="6436078A"/>
    <w:lvl w:ilvl="0" w:tplc="0560A7A2">
      <w:start w:val="1"/>
      <w:numFmt w:val="lowerLetter"/>
      <w:lvlText w:val="%1.)"/>
      <w:lvlJc w:val="left"/>
      <w:pPr>
        <w:tabs>
          <w:tab w:val="num" w:pos="1155"/>
        </w:tabs>
        <w:ind w:left="1155" w:hanging="435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97"/>
    <w:rsid w:val="0000243C"/>
    <w:rsid w:val="000041D5"/>
    <w:rsid w:val="0002630C"/>
    <w:rsid w:val="0015266C"/>
    <w:rsid w:val="00166A48"/>
    <w:rsid w:val="001E76A0"/>
    <w:rsid w:val="00217080"/>
    <w:rsid w:val="00296C6D"/>
    <w:rsid w:val="003622D7"/>
    <w:rsid w:val="00386F1F"/>
    <w:rsid w:val="003E3525"/>
    <w:rsid w:val="003E41F3"/>
    <w:rsid w:val="00406E3E"/>
    <w:rsid w:val="00452061"/>
    <w:rsid w:val="00472B52"/>
    <w:rsid w:val="00483787"/>
    <w:rsid w:val="00503368"/>
    <w:rsid w:val="00570638"/>
    <w:rsid w:val="00667CEE"/>
    <w:rsid w:val="006F5790"/>
    <w:rsid w:val="006F66D7"/>
    <w:rsid w:val="00707942"/>
    <w:rsid w:val="007C4B29"/>
    <w:rsid w:val="008124FC"/>
    <w:rsid w:val="008154DC"/>
    <w:rsid w:val="00833004"/>
    <w:rsid w:val="008D24BB"/>
    <w:rsid w:val="009076DD"/>
    <w:rsid w:val="00981ED4"/>
    <w:rsid w:val="009A3D89"/>
    <w:rsid w:val="00A90680"/>
    <w:rsid w:val="00AB6176"/>
    <w:rsid w:val="00B15ACC"/>
    <w:rsid w:val="00BD5D97"/>
    <w:rsid w:val="00BE6D2B"/>
    <w:rsid w:val="00CD6C27"/>
    <w:rsid w:val="00D24A4B"/>
    <w:rsid w:val="00D44BBD"/>
    <w:rsid w:val="00DB722C"/>
    <w:rsid w:val="00E11970"/>
    <w:rsid w:val="00EA07A3"/>
    <w:rsid w:val="00E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481EF"/>
  <w15:docId w15:val="{0BFB94E3-83B6-415C-8BFC-5114C28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5D97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33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300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2">
    <w:name w:val="Body Text Indent 2"/>
    <w:basedOn w:val="Norml"/>
    <w:link w:val="Szvegtrzsbehzssal2Char"/>
    <w:rsid w:val="00472B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472B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rsid w:val="00472B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472B5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Jegyzetszveg">
    <w:name w:val="annotation text"/>
    <w:basedOn w:val="Norml"/>
    <w:link w:val="JegyzetszvegChar"/>
    <w:rsid w:val="00472B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472B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B6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4B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4BB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90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B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EEA3-E0E7-460D-A3B3-3938A897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1882</Words>
  <Characters>12987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3</cp:revision>
  <cp:lastPrinted>2018-12-07T11:30:00Z</cp:lastPrinted>
  <dcterms:created xsi:type="dcterms:W3CDTF">2018-12-17T10:58:00Z</dcterms:created>
  <dcterms:modified xsi:type="dcterms:W3CDTF">2018-12-17T10:58:00Z</dcterms:modified>
</cp:coreProperties>
</file>